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AFF" w:rsidRDefault="00054AF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54AFF" w:rsidRDefault="00054AFF">
      <w:pPr>
        <w:pStyle w:val="ConsPlusNormal"/>
        <w:jc w:val="both"/>
        <w:outlineLvl w:val="0"/>
      </w:pPr>
    </w:p>
    <w:p w:rsidR="00054AFF" w:rsidRDefault="00054AFF">
      <w:pPr>
        <w:pStyle w:val="ConsPlusTitle"/>
        <w:jc w:val="center"/>
        <w:outlineLvl w:val="0"/>
      </w:pPr>
      <w:r>
        <w:t>МИНИСТЕРСТВО ЗДРАВООХРАНЕНИЯ РОССИЙСКОЙ ФЕДЕРАЦИИ</w:t>
      </w:r>
    </w:p>
    <w:p w:rsidR="00054AFF" w:rsidRDefault="00054AFF">
      <w:pPr>
        <w:pStyle w:val="ConsPlusTitle"/>
        <w:jc w:val="center"/>
      </w:pPr>
    </w:p>
    <w:p w:rsidR="00054AFF" w:rsidRDefault="00054AFF">
      <w:pPr>
        <w:pStyle w:val="ConsPlusTitle"/>
        <w:jc w:val="center"/>
      </w:pPr>
      <w:r>
        <w:t>КЛИНИЧЕСКИЕ РЕКОМЕНДАЦИИ</w:t>
      </w:r>
    </w:p>
    <w:p w:rsidR="00054AFF" w:rsidRDefault="00054AFF">
      <w:pPr>
        <w:pStyle w:val="ConsPlusTitle"/>
        <w:jc w:val="center"/>
      </w:pPr>
    </w:p>
    <w:p w:rsidR="00054AFF" w:rsidRDefault="00054AFF">
      <w:pPr>
        <w:pStyle w:val="ConsPlusTitle"/>
        <w:jc w:val="center"/>
      </w:pPr>
      <w:r>
        <w:t>АНАФИЛАКТИЧЕСКИЙ ШОК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 xml:space="preserve">Кодирование по Международной статистической классификации болезней и проблем, связанных со здоровьем: </w:t>
      </w:r>
      <w:hyperlink r:id="rId5" w:history="1">
        <w:r>
          <w:rPr>
            <w:color w:val="0000FF"/>
          </w:rPr>
          <w:t>T78.0</w:t>
        </w:r>
      </w:hyperlink>
      <w:r>
        <w:t xml:space="preserve">, </w:t>
      </w:r>
      <w:hyperlink r:id="rId6" w:history="1">
        <w:r>
          <w:rPr>
            <w:color w:val="0000FF"/>
          </w:rPr>
          <w:t>T78.2</w:t>
        </w:r>
      </w:hyperlink>
      <w:r>
        <w:t xml:space="preserve">, </w:t>
      </w:r>
      <w:hyperlink r:id="rId7" w:history="1">
        <w:r>
          <w:rPr>
            <w:color w:val="0000FF"/>
          </w:rPr>
          <w:t>T80.5</w:t>
        </w:r>
      </w:hyperlink>
      <w:r>
        <w:t xml:space="preserve">, </w:t>
      </w:r>
      <w:hyperlink r:id="rId8" w:history="1">
        <w:r>
          <w:rPr>
            <w:color w:val="0000FF"/>
          </w:rPr>
          <w:t>T88.6</w:t>
        </w:r>
      </w:hyperlink>
    </w:p>
    <w:p w:rsidR="00054AFF" w:rsidRDefault="00054AFF">
      <w:pPr>
        <w:pStyle w:val="ConsPlusNormal"/>
        <w:spacing w:before="220"/>
        <w:ind w:firstLine="540"/>
        <w:jc w:val="both"/>
      </w:pPr>
      <w:r>
        <w:t>Год утверждения (частота пересмотра): 2020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Возрастная категория: Взрослые, Дети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Год окончания действия: 2022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ID: 263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1"/>
      </w:pPr>
      <w:r>
        <w:t>Разработчик клинической рекомендации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- Российская ассоциация аллергологов и клинических иммунологов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Общероссийская общественная организация "Федерация анестезиологов и реаниматологов"</w:t>
      </w:r>
    </w:p>
    <w:p w:rsidR="00054AFF" w:rsidRDefault="00054AFF">
      <w:pPr>
        <w:pStyle w:val="ConsPlusNormal"/>
        <w:ind w:firstLine="540"/>
        <w:jc w:val="both"/>
      </w:pPr>
    </w:p>
    <w:p w:rsidR="00054AFF" w:rsidRDefault="00054AFF">
      <w:pPr>
        <w:pStyle w:val="ConsPlusNormal"/>
        <w:jc w:val="center"/>
      </w:pPr>
      <w:r>
        <w:t>Одобрено Научно-практическим Советом Минздрава РФ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1"/>
      </w:pPr>
      <w:r>
        <w:t>Ключевые слова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1"/>
      </w:pPr>
      <w:r>
        <w:t>Список сокращений</w:t>
      </w:r>
    </w:p>
    <w:p w:rsidR="00054AFF" w:rsidRDefault="00054AFF">
      <w:pPr>
        <w:pStyle w:val="ConsPlusNormal"/>
        <w:ind w:firstLine="540"/>
        <w:jc w:val="both"/>
      </w:pPr>
    </w:p>
    <w:p w:rsidR="00054AFF" w:rsidRDefault="00054AFF">
      <w:pPr>
        <w:pStyle w:val="ConsPlusNormal"/>
        <w:ind w:firstLine="540"/>
        <w:jc w:val="both"/>
      </w:pPr>
      <w:r>
        <w:t>H1-рецепторы - гистаминовые рецепторы 1 типа;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АД - артериальное давление;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АСИТ - аллерген-специфическая иммунотерапия;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АШ - анафилактический шок;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ЛС - лекарственное средство;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НПВП - нестероидные противовоспалительные препараты;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СЛР - сердечно-легочная реанимация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в/в - внутривенно(-ый);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кг - килограмм;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мг - миллиграмм;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мм рт.ст. - миллиметр ртутного столба.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УДД - уровень достоверности доказательств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lastRenderedPageBreak/>
        <w:t>УУР - уровень убедительности рекомендаций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1"/>
      </w:pPr>
      <w:r>
        <w:t>Термины и определения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Анафилаксия - это жизнеугрожающая системная реакция гиперчувствительности. Она характеризуется быстрым развитием потенциально жизнеугрожающих изменений гемодинамики и/или нарушениями со стороны дыхательной системы. Возможно развитие анафилаксии с поражением кожи, слизистых и желудочно-кишечного тракта без гемодинамических и дыхательных нарушений [</w:t>
      </w:r>
      <w:hyperlink w:anchor="P300" w:history="1">
        <w:r>
          <w:rPr>
            <w:color w:val="0000FF"/>
          </w:rPr>
          <w:t>1</w:t>
        </w:r>
      </w:hyperlink>
      <w:r>
        <w:t xml:space="preserve">, </w:t>
      </w:r>
      <w:hyperlink w:anchor="P301" w:history="1">
        <w:r>
          <w:rPr>
            <w:color w:val="0000FF"/>
          </w:rPr>
          <w:t>2</w:t>
        </w:r>
      </w:hyperlink>
      <w:r>
        <w:t xml:space="preserve">, </w:t>
      </w:r>
      <w:hyperlink w:anchor="P302" w:history="1">
        <w:r>
          <w:rPr>
            <w:color w:val="0000FF"/>
          </w:rPr>
          <w:t>3</w:t>
        </w:r>
      </w:hyperlink>
      <w:r>
        <w:t>].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1"/>
      </w:pPr>
      <w:r>
        <w:t>1. Краткая информация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2"/>
      </w:pPr>
      <w:r>
        <w:t>1.1 Определение заболевания или состояния (группы</w:t>
      </w:r>
    </w:p>
    <w:p w:rsidR="00054AFF" w:rsidRDefault="00054AFF">
      <w:pPr>
        <w:pStyle w:val="ConsPlusTitle"/>
        <w:jc w:val="center"/>
      </w:pPr>
      <w:r>
        <w:t>заболеваний или состояний)</w:t>
      </w:r>
    </w:p>
    <w:p w:rsidR="00054AFF" w:rsidRDefault="00054AFF">
      <w:pPr>
        <w:pStyle w:val="ConsPlusNormal"/>
        <w:ind w:firstLine="540"/>
        <w:jc w:val="both"/>
      </w:pPr>
    </w:p>
    <w:p w:rsidR="00054AFF" w:rsidRDefault="00054AFF">
      <w:pPr>
        <w:pStyle w:val="ConsPlusNormal"/>
        <w:ind w:firstLine="540"/>
        <w:jc w:val="both"/>
      </w:pPr>
      <w:r>
        <w:t>Анафилактический шок (АШ) - острая недостаточность кровообращения в результате анафилаксии, проявляющаяся снижением систолического артериального давления (АД) ниже 90 мм рт.ст или на 30% от рабочего уровня [</w:t>
      </w:r>
      <w:hyperlink w:anchor="P300" w:history="1">
        <w:r>
          <w:rPr>
            <w:color w:val="0000FF"/>
          </w:rPr>
          <w:t>1</w:t>
        </w:r>
      </w:hyperlink>
      <w:r>
        <w:t>] и приводящая к гипоксии жизненно важных органов [</w:t>
      </w:r>
      <w:hyperlink w:anchor="P303" w:history="1">
        <w:r>
          <w:rPr>
            <w:color w:val="0000FF"/>
          </w:rPr>
          <w:t>4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Без выраженных гемодинамических нарушений диагноз шока неправомерен: например, жизнеугрожающий бронхоспазм в сочетании с крапивницей - анафилаксия, но не АШ.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2"/>
      </w:pPr>
      <w:r>
        <w:t>1.2 Этиология и патогенез заболевания или состояния (группы</w:t>
      </w:r>
    </w:p>
    <w:p w:rsidR="00054AFF" w:rsidRDefault="00054AFF">
      <w:pPr>
        <w:pStyle w:val="ConsPlusTitle"/>
        <w:jc w:val="center"/>
      </w:pPr>
      <w:r>
        <w:t>заболеваний или состояний)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Этиологические факторы: медицинские препараты и материалы, чаще лекарственные средства (ЛС) (31,2 - 46,5%), пищевые продукты (23,3 - 31%), яд перепончатокрылых насекомых (14,9 - 20%) [</w:t>
      </w:r>
      <w:hyperlink w:anchor="P304" w:history="1">
        <w:r>
          <w:rPr>
            <w:color w:val="0000FF"/>
          </w:rPr>
          <w:t>5</w:t>
        </w:r>
      </w:hyperlink>
      <w:r>
        <w:t xml:space="preserve">, </w:t>
      </w:r>
      <w:hyperlink w:anchor="P305" w:history="1">
        <w:r>
          <w:rPr>
            <w:color w:val="0000FF"/>
          </w:rPr>
          <w:t>6</w:t>
        </w:r>
      </w:hyperlink>
      <w:r>
        <w:t xml:space="preserve">, </w:t>
      </w:r>
      <w:hyperlink w:anchor="P306" w:history="1">
        <w:r>
          <w:rPr>
            <w:color w:val="0000FF"/>
          </w:rPr>
          <w:t>7</w:t>
        </w:r>
      </w:hyperlink>
      <w:r>
        <w:t xml:space="preserve">, </w:t>
      </w:r>
      <w:hyperlink w:anchor="P307" w:history="1">
        <w:r>
          <w:rPr>
            <w:color w:val="0000FF"/>
          </w:rPr>
          <w:t>8</w:t>
        </w:r>
      </w:hyperlink>
      <w:r>
        <w:t xml:space="preserve">, </w:t>
      </w:r>
      <w:hyperlink w:anchor="P308" w:history="1">
        <w:r>
          <w:rPr>
            <w:color w:val="0000FF"/>
          </w:rPr>
          <w:t>9</w:t>
        </w:r>
      </w:hyperlink>
      <w:r>
        <w:t>]. Возможно развитие жизнеугрожающей анафилаксии на яды других животных, например, змей [</w:t>
      </w:r>
      <w:hyperlink w:anchor="P309" w:history="1">
        <w:r>
          <w:rPr>
            <w:color w:val="0000FF"/>
          </w:rPr>
          <w:t>10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Встречаются случаи анафилаксии, когда причину ее развития установить не удается (в 24 - 26% случаев) [</w:t>
      </w:r>
      <w:hyperlink w:anchor="P305" w:history="1">
        <w:r>
          <w:rPr>
            <w:color w:val="0000FF"/>
          </w:rPr>
          <w:t>6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Из медицинских препаратов и материалов наиболее часто вызывают АШ антибиотики для парентерального введения (среди них бета-лактамные антибактериальные препараты - пенициллины, цефалоспорины), нестероидные противовоспалительные препараты (НПВП), рентгенконтрастные йодсодержащие вещества, миорелаксанты, латекс [</w:t>
      </w:r>
      <w:hyperlink w:anchor="P310" w:history="1">
        <w:r>
          <w:rPr>
            <w:color w:val="0000FF"/>
          </w:rPr>
          <w:t>11</w:t>
        </w:r>
      </w:hyperlink>
      <w:r>
        <w:t xml:space="preserve">, </w:t>
      </w:r>
      <w:hyperlink w:anchor="P311" w:history="1">
        <w:r>
          <w:rPr>
            <w:color w:val="0000FF"/>
          </w:rPr>
          <w:t>12</w:t>
        </w:r>
      </w:hyperlink>
      <w:r>
        <w:t xml:space="preserve">, </w:t>
      </w:r>
      <w:hyperlink w:anchor="P312" w:history="1">
        <w:r>
          <w:rPr>
            <w:color w:val="0000FF"/>
          </w:rPr>
          <w:t>13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Наиболее частыми провоцирующими факторами пищевой анафилаксии являются коровье молоко, рыба и морепродукты, орехи, арахис, яйца [</w:t>
      </w:r>
      <w:hyperlink w:anchor="P313" w:history="1">
        <w:r>
          <w:rPr>
            <w:color w:val="0000FF"/>
          </w:rPr>
          <w:t>14</w:t>
        </w:r>
      </w:hyperlink>
      <w:r>
        <w:t xml:space="preserve">, </w:t>
      </w:r>
      <w:hyperlink w:anchor="P314" w:history="1">
        <w:r>
          <w:rPr>
            <w:color w:val="0000FF"/>
          </w:rPr>
          <w:t>15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Вид триггера, наиболее часто вызывающего анафилаксию, зависит от возраста пациента. Так, в детском возрасте наиболее частая причина - пищевые продукты, у взрослых - ЛС и яд перепончатокрылых [</w:t>
      </w:r>
      <w:hyperlink w:anchor="P315" w:history="1">
        <w:r>
          <w:rPr>
            <w:color w:val="0000FF"/>
          </w:rPr>
          <w:t>16</w:t>
        </w:r>
      </w:hyperlink>
      <w:r>
        <w:t xml:space="preserve">, </w:t>
      </w:r>
      <w:hyperlink w:anchor="P316" w:history="1">
        <w:r>
          <w:rPr>
            <w:color w:val="0000FF"/>
          </w:rPr>
          <w:t>17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Патогенез: реакции гиперчувствительности немедленного типа, как правило, протекающие с участием иммуноглобулинов E, фиксированных на поверхности мембран базофилов и тучных клеток (1-й тип реакций гиперчувствительности по Gell и Coombs) [</w:t>
      </w:r>
      <w:hyperlink w:anchor="P317" w:history="1">
        <w:r>
          <w:rPr>
            <w:color w:val="0000FF"/>
          </w:rPr>
          <w:t>18</w:t>
        </w:r>
      </w:hyperlink>
      <w:r>
        <w:t>].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2"/>
      </w:pPr>
      <w:r>
        <w:t>1.3 Эпидемиология заболевания или состояния (группы</w:t>
      </w:r>
    </w:p>
    <w:p w:rsidR="00054AFF" w:rsidRDefault="00054AFF">
      <w:pPr>
        <w:pStyle w:val="ConsPlusTitle"/>
        <w:jc w:val="center"/>
      </w:pPr>
      <w:r>
        <w:t>заболеваний или состояний)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По данным зарубежных ученых, частота встречаемости анафилаксии в общей популяции варьирует в широких пределах 1,5 - 7,9 на 100000 населения в год [</w:t>
      </w:r>
      <w:hyperlink w:anchor="P304" w:history="1">
        <w:r>
          <w:rPr>
            <w:color w:val="0000FF"/>
          </w:rPr>
          <w:t>5</w:t>
        </w:r>
      </w:hyperlink>
      <w:r>
        <w:t xml:space="preserve">, </w:t>
      </w:r>
      <w:hyperlink w:anchor="P311" w:history="1">
        <w:r>
          <w:rPr>
            <w:color w:val="0000FF"/>
          </w:rPr>
          <w:t>12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lastRenderedPageBreak/>
        <w:t>Систематизированные данные по частоте встречаемости анафилаксии и АШ в Российской Федерации в настоящее время не представлены. Однако есть данные по отдельному региону: в г. Казань заболеваемость АШ в 2012 г. составила 0,37 на 10000 населения [</w:t>
      </w:r>
      <w:hyperlink w:anchor="P318" w:history="1">
        <w:r>
          <w:rPr>
            <w:color w:val="0000FF"/>
          </w:rPr>
          <w:t>19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При этом смертность от анафилаксии составляет до 0,0001% [</w:t>
      </w:r>
      <w:hyperlink w:anchor="P311" w:history="1">
        <w:r>
          <w:rPr>
            <w:color w:val="0000FF"/>
          </w:rPr>
          <w:t>12</w:t>
        </w:r>
      </w:hyperlink>
      <w:r>
        <w:t>], а летальность - до 1% [</w:t>
      </w:r>
      <w:hyperlink w:anchor="P319" w:history="1">
        <w:r>
          <w:rPr>
            <w:color w:val="0000FF"/>
          </w:rPr>
          <w:t>20</w:t>
        </w:r>
      </w:hyperlink>
      <w:r>
        <w:t xml:space="preserve">, </w:t>
      </w:r>
      <w:hyperlink w:anchor="P320" w:history="1">
        <w:r>
          <w:rPr>
            <w:color w:val="0000FF"/>
          </w:rPr>
          <w:t>21</w:t>
        </w:r>
      </w:hyperlink>
      <w:r>
        <w:t>].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2"/>
      </w:pPr>
      <w:r>
        <w:t>1.4 Особенности кодирования заболевания или состояния</w:t>
      </w:r>
    </w:p>
    <w:p w:rsidR="00054AFF" w:rsidRDefault="00054AFF">
      <w:pPr>
        <w:pStyle w:val="ConsPlusTitle"/>
        <w:jc w:val="center"/>
      </w:pPr>
      <w:r>
        <w:t>(группы заболеваний или состояний) по Международной</w:t>
      </w:r>
    </w:p>
    <w:p w:rsidR="00054AFF" w:rsidRDefault="00054AFF">
      <w:pPr>
        <w:pStyle w:val="ConsPlusTitle"/>
        <w:jc w:val="center"/>
      </w:pPr>
      <w:r>
        <w:t xml:space="preserve">статистической </w:t>
      </w:r>
      <w:hyperlink r:id="rId9" w:history="1">
        <w:r>
          <w:rPr>
            <w:color w:val="0000FF"/>
          </w:rPr>
          <w:t>классификации</w:t>
        </w:r>
      </w:hyperlink>
      <w:r>
        <w:t xml:space="preserve"> болезней и проблем,</w:t>
      </w:r>
    </w:p>
    <w:p w:rsidR="00054AFF" w:rsidRDefault="00054AFF">
      <w:pPr>
        <w:pStyle w:val="ConsPlusTitle"/>
        <w:jc w:val="center"/>
      </w:pPr>
      <w:r>
        <w:t>связанных со здоровьем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hyperlink r:id="rId10" w:history="1">
        <w:r>
          <w:rPr>
            <w:color w:val="0000FF"/>
          </w:rPr>
          <w:t>T78.0</w:t>
        </w:r>
      </w:hyperlink>
      <w:r>
        <w:t xml:space="preserve"> - Анафилактический шок, вызванный патологической реакцией на пищу;</w:t>
      </w:r>
    </w:p>
    <w:p w:rsidR="00054AFF" w:rsidRDefault="00054AFF">
      <w:pPr>
        <w:pStyle w:val="ConsPlusNormal"/>
        <w:spacing w:before="220"/>
        <w:ind w:firstLine="540"/>
        <w:jc w:val="both"/>
      </w:pPr>
      <w:hyperlink r:id="rId11" w:history="1">
        <w:r>
          <w:rPr>
            <w:color w:val="0000FF"/>
          </w:rPr>
          <w:t>T78.2</w:t>
        </w:r>
      </w:hyperlink>
      <w:r>
        <w:t xml:space="preserve"> - Анафилактический шок, неуточненный;</w:t>
      </w:r>
    </w:p>
    <w:p w:rsidR="00054AFF" w:rsidRDefault="00054AFF">
      <w:pPr>
        <w:pStyle w:val="ConsPlusNormal"/>
        <w:spacing w:before="220"/>
        <w:ind w:firstLine="540"/>
        <w:jc w:val="both"/>
      </w:pPr>
      <w:hyperlink r:id="rId12" w:history="1">
        <w:r>
          <w:rPr>
            <w:color w:val="0000FF"/>
          </w:rPr>
          <w:t>T80.5</w:t>
        </w:r>
      </w:hyperlink>
      <w:r>
        <w:t xml:space="preserve"> - Анафилактический шок, связанный с введением сыворотки;</w:t>
      </w:r>
    </w:p>
    <w:p w:rsidR="00054AFF" w:rsidRDefault="00054AFF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T88.6</w:t>
        </w:r>
      </w:hyperlink>
      <w:r>
        <w:t xml:space="preserve"> - Анафилактический шок, обусловленный патологической реакцией на адекватно назначенное и правильно примененное лекарственное средство.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2"/>
      </w:pPr>
      <w:bookmarkStart w:id="0" w:name="P77"/>
      <w:bookmarkEnd w:id="0"/>
      <w:r>
        <w:t>1.5 Классификация заболевания или состояния (группы</w:t>
      </w:r>
    </w:p>
    <w:p w:rsidR="00054AFF" w:rsidRDefault="00054AFF">
      <w:pPr>
        <w:pStyle w:val="ConsPlusTitle"/>
        <w:jc w:val="center"/>
      </w:pPr>
      <w:r>
        <w:t>заболеваний или состояний)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Существуют различные классификации АШ в зависимости от степени тяжести гемодинамических нарушений, скорости развития, клинических проявлений.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По степени тяжести: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1 степень тяжести АШ: Гемодинамические нарушения незначительные, артериальное давление (АД) снижено на 30 - 40 мм рт.ст. от рабочих величин. Начало АШ может сопровождаться появлением предвестников (зуд кожи, сыпь, першение в горле, кашель и др.). Пациент в сознании, может быть возбуждение или вялость, беспокойство, страх смерти и пр. Отмечается чувство жара, шум в ушах, головная боль, сжимающая боль за грудиной. Кожные покровы гиперемированы, возможны крапивница, ангиоотек, риноконъюнктивит, кашель и пр.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2 степень тяжести АШ: Гемодинамические нарушения более выражены. Продолжается снижение АД ниже 90 - 60/40 мм рт.ст. Возможна потеря сознания. У больного может быть чувство беспокойства, страха, ощущение жара, слабость, зуд кожи, крапивница, ангиоотек, симптомы ринита, затруднение глотания, осиплость голоса (вплоть до афонии), головокружение, шум в ушах, парестезии, головная боль, боли в животе, в пояснице, в области сердца. При осмотре - кожа бледная, иногда синюшная, одышка, стридорозное дыхание, хрипы в легких. Тоны сердца глухие, тахикардия, тахиаритмия. Может быть рвота, непроизвольное мочеиспускание и дефекация.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3 степень тяжести АШ: Потеря сознания, АД 60 - 40/0 мм рт.ст. Нередко судороги, холодный липкий пот, цианоз губ, расширение зрачков. Тоны сердца глухие, сердечный ритм неправильный, пульс нитевидный.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4 степень тяжести АШ: АД не определяется. Тоны сердца и дыхание не прослушиваются. Остановка кровообращения и дыхания - применяется протокол сердечно-легочной реанимации.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Гипотония для детей определена как: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&lt; 70 мм рт.ст. от 1 месяца до 1-го года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[&lt; 70 мм рт.ст + (2 х возраст в годах)] от 1 до 10 лет,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lastRenderedPageBreak/>
        <w:t>&lt; 90 мм рт.ст от 11 до 17 лет.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Первым признаком гипотонии у детей может быть быстро нарастающая тахикардия [</w:t>
      </w:r>
      <w:hyperlink w:anchor="P321" w:history="1">
        <w:r>
          <w:rPr>
            <w:color w:val="0000FF"/>
          </w:rPr>
          <w:t>22</w:t>
        </w:r>
      </w:hyperlink>
      <w:r>
        <w:t xml:space="preserve">, </w:t>
      </w:r>
      <w:hyperlink w:anchor="P322" w:history="1">
        <w:r>
          <w:rPr>
            <w:color w:val="0000FF"/>
          </w:rPr>
          <w:t>23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По характеру течения: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а) Злокачественное течение характеризуется острым началом с быстрым падением АД (диастолическое - до 0 мм рт.ст.), нарушением сознания и нарастанием симптомов дыхательной недостаточности с явлениями бронхоспазма. Данная форма достаточно резистентна к интенсивной терапии и прогрессирует с развитием тяжелого отека легких, стойкого падения АД и глубокой комы. Чем быстрее развивается анафилактический шок, тем более вероятно развитие тяжелого анафилактического шока с возможным летальным исходом. Именно поэтому для данного течения анафилактического шока характерен неблагоприятный исход.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б) Острое доброкачественное течение характерно для типичной формы АШ. Расстройство сознания носит характер оглушения или сопора, сопровождается умеренными функциональными изменениями сосудистого тонуса и признаками дыхательной недостаточности. Для острого доброкачественного течения АШ характерны наличие хорошего эффекта от своевременной и адекватной терапии, благоприятный исход.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в) Затяжной характер течения наблюдается после проведения активной противошоковой терапии, которая дает временный или частичный эффект. В последующий период симптоматика не такая острая, как при первых двух разновидностях АШ, но отличается резистентностью к терапевтическим мерам, что нередко приводит к формированию таких осложнений, как пневмония, гепатит, энцефалит. Данное течение характерно для АШ, развившегося вследствие введения препаратов пролонгированного действия.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г) Рецидивирующее течение характеризуется возникновением повторного шокового состояния после первоначального купирования его симптомов. Часто развивается после применения ЛС пролонгированного действия. Рецидивы по клинической картине могут отличаться от первоначальной симптоматики, в ряде случаев имеют более тяжелое и острое течение, более резистентны к терапии.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д) Абортивное течение - наиболее благоприятное. Часто протекает в виде асфиктического варианта АШ. Гемодинамические нарушения при этой форме АШ выражены минимально. Купируется достаточно быстро [</w:t>
      </w:r>
      <w:hyperlink w:anchor="P323" w:history="1">
        <w:r>
          <w:rPr>
            <w:color w:val="0000FF"/>
          </w:rPr>
          <w:t>24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По доминирующей клинической симптоматике: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а) Типичный вариант - гемодинамические нарушения часто сочетаются с поражением кожи и слизистых (крапивница, ангиоотек), бронхоспазм.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б) Гемодинамический вариант - гемодинамические нарушения выступают на первый план или носят изолированный характер.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в) Асфиктический вариант - преобладают симптомы острой дыхательной недостаточности.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г) Абдоминальный вариант - преобладают симптомы поражения органов брюшной полости в сочетании с гемодинамическими или асфиктическими проявлениями.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д) Церебральный вариант - преобладают симптомы поражения центральной нервной системы в сочетании с гемодинамическими или асфиктическими проявлениями [</w:t>
      </w:r>
      <w:hyperlink w:anchor="P323" w:history="1">
        <w:r>
          <w:rPr>
            <w:color w:val="0000FF"/>
          </w:rPr>
          <w:t>24</w:t>
        </w:r>
      </w:hyperlink>
      <w:r>
        <w:t>].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2"/>
      </w:pPr>
      <w:r>
        <w:t>1.6 Клиническая картина заболевания или состояния (группы</w:t>
      </w:r>
    </w:p>
    <w:p w:rsidR="00054AFF" w:rsidRDefault="00054AFF">
      <w:pPr>
        <w:pStyle w:val="ConsPlusTitle"/>
        <w:jc w:val="center"/>
      </w:pPr>
      <w:r>
        <w:t>заболеваний или состояний)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lastRenderedPageBreak/>
        <w:t>АШ обычно развивается в течение двух часов после воздействия аллергена, обычно в течение 30 минут при пищевой аллергии и быстрее при реакции на ЛС для парентерального введения или яд насекомых. В случаях фатальных реакций среднее время от первых симптомов до остановки кровообращения составляло 30, 15 и 5 минут для пищевых продуктов, ядов насекомых и ЛС для парентерального введения соответственно [</w:t>
      </w:r>
      <w:hyperlink w:anchor="P324" w:history="1">
        <w:r>
          <w:rPr>
            <w:color w:val="0000FF"/>
          </w:rPr>
          <w:t>25</w:t>
        </w:r>
      </w:hyperlink>
      <w:r>
        <w:t xml:space="preserve">, </w:t>
      </w:r>
      <w:hyperlink w:anchor="P325" w:history="1">
        <w:r>
          <w:rPr>
            <w:color w:val="0000FF"/>
          </w:rPr>
          <w:t>26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Для клинической картины развития анафилаксии и АШ характерно наличие одного из трех диагностических критериев: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Острое начало заболевания (от нескольких минут до нескольких часов) с вовлечением кожи и/или слизистых (генерализованная крапивница, зуд или гиперемия, отек губ, языка, небного язычка) в сочетании с: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А) респираторными нарушениями (диспноэ, бронхоспазм, свистящие хрипы, снижение скорости потока, гипоксемия);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Б) снижение АД или ассоциированные с ним симптомы поражения органов-мишеней (гипотония, потеря сознания, недержание вследствие расслабления сфинктеров).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2. Два или более из следующих симптомов, возникших остро после контакта с возможным аллергеном, но при обязательном наличии жизнеугрожающих нарушений со стороны дыхания и/или кровообращения: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А) Поражение кожи и/или слизистых в виде генерализованной крапивницы, зуда и/или эритемы, отека губ, языка, век, ушей, небного язычка.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Б) Респираторные проявления (затруднение дыхания, одышка, кашель, заложенность носа, чихание, хрипы в груди, стридор, гипоксемия).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В) Внезапное снижение АД и, как следствие, развитие коллапса, синкопальных состояний, недержания вследствие расслабления сфинктеров.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Г) Персистирующие гастроинтестинальные нарушения в виде спастических болей в животе, рвоты.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3. Снижение АД после контакта с известным для данного пациента аллергеном. Критерии снижения АД см. </w:t>
      </w:r>
      <w:hyperlink w:anchor="P77" w:history="1">
        <w:r>
          <w:rPr>
            <w:color w:val="0000FF"/>
          </w:rPr>
          <w:t>раздел 1.5</w:t>
        </w:r>
      </w:hyperlink>
      <w:r>
        <w:t xml:space="preserve"> Классификация по степени тяжести [</w:t>
      </w:r>
      <w:hyperlink w:anchor="P300" w:history="1">
        <w:r>
          <w:rPr>
            <w:color w:val="0000FF"/>
          </w:rPr>
          <w:t>1</w:t>
        </w:r>
      </w:hyperlink>
      <w:r>
        <w:t xml:space="preserve">, </w:t>
      </w:r>
      <w:hyperlink w:anchor="P326" w:history="1">
        <w:r>
          <w:rPr>
            <w:color w:val="0000FF"/>
          </w:rPr>
          <w:t>27</w:t>
        </w:r>
      </w:hyperlink>
      <w:r>
        <w:t xml:space="preserve">, </w:t>
      </w:r>
      <w:hyperlink w:anchor="P327" w:history="1">
        <w:r>
          <w:rPr>
            <w:color w:val="0000FF"/>
          </w:rPr>
          <w:t>28</w:t>
        </w:r>
      </w:hyperlink>
      <w:r>
        <w:t>].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1"/>
      </w:pPr>
      <w:r>
        <w:t>2. Диагностика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Как правило, диагноз АШ устанавливается на основании клинической картины заболевания (острое начало характерных симптомов через минуты - часы после контакта с триггером) и обстоятельств, при которых возникла реакция (применение ЛС, употребление пищевого продукта, ужаление перепончатокрылым, без установленной причины) [</w:t>
      </w:r>
      <w:hyperlink w:anchor="P315" w:history="1">
        <w:r>
          <w:rPr>
            <w:color w:val="0000FF"/>
          </w:rPr>
          <w:t>16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Дифференциальная диагностика проводится с: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другими видами шока (кардиогенный, септический и пр.);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другими острыми состояниями, сопровождающимися артериальной гипотонией, нарушением дыхания и сознания: острая сердечно-сосудистая недостаточность, инфаркт миокарда, синкопальные состояния, тромбоэмболия легочной артерии, эпилепсия, солнечный и тепловой удары, гипогликемия, гиповолемия, передозировка ЛС, аспирация и др.;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вазовагальными реакциями;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lastRenderedPageBreak/>
        <w:t>- психогенными реакциями (истерия, панические атаки);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системным мастоцитозом [</w:t>
      </w:r>
      <w:hyperlink w:anchor="P303" w:history="1">
        <w:r>
          <w:rPr>
            <w:color w:val="0000FF"/>
          </w:rPr>
          <w:t>4</w:t>
        </w:r>
      </w:hyperlink>
      <w:r>
        <w:t>].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2"/>
      </w:pPr>
      <w:r>
        <w:t>2.1 Жалобы и анамнез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- Рекомендуется всем пациентам с предполагаемыми анафилаксией или АШ собрать информацию о всех возможных провоцирующих факторах с целью их верификации [</w:t>
      </w:r>
      <w:hyperlink w:anchor="P303" w:history="1">
        <w:r>
          <w:rPr>
            <w:color w:val="0000FF"/>
          </w:rPr>
          <w:t>4</w:t>
        </w:r>
      </w:hyperlink>
      <w:r>
        <w:t xml:space="preserve">, </w:t>
      </w:r>
      <w:hyperlink w:anchor="P321" w:history="1">
        <w:r>
          <w:rPr>
            <w:color w:val="0000FF"/>
          </w:rPr>
          <w:t>22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Уровень убедительности данных </w:t>
      </w:r>
      <w:hyperlink w:anchor="P484" w:history="1">
        <w:r>
          <w:rPr>
            <w:color w:val="0000FF"/>
          </w:rPr>
          <w:t>C</w:t>
        </w:r>
      </w:hyperlink>
      <w:r>
        <w:t xml:space="preserve"> (уровень достоверности данных 5).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Комментарий: Сбор анамнеза и жалоб чаще всего возможен после стабилизации состояния и играет важную роль для постановки диагноза анафилаксии и АШ, определения причины его развития и профилактики повторных реакций.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При сборе анамнеза у всех пациентов рекомендуется обратить внимание на: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обстоятельства, при которых развился АШ (введение ЛС, употребление пищевого продукта, ужаление насекомым, проведение АСИТ).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время возникновения реакции - внезапное развитие характерных симптомов (через минуты, часы) после воздействия триггера, часто быстрое прогрессирование симптомов.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наличие факторов, повышающих риск развития тяжелого АШ (пожилой возраст, сопутствующая патология: бронхиальная астма и другие хронические заболевания органов дыхания, тяжелые атопические заболевания, сердечно-сосудистая патология, мастоцитоз, прием бета-адреноблокаторов и ингибиторов ангиотензин-конвертирующего фермента (АКФ) и др.) [</w:t>
      </w:r>
      <w:hyperlink w:anchor="P303" w:history="1">
        <w:r>
          <w:rPr>
            <w:color w:val="0000FF"/>
          </w:rPr>
          <w:t>4</w:t>
        </w:r>
      </w:hyperlink>
      <w:r>
        <w:t xml:space="preserve">, </w:t>
      </w:r>
      <w:hyperlink w:anchor="P313" w:history="1">
        <w:r>
          <w:rPr>
            <w:color w:val="0000FF"/>
          </w:rPr>
          <w:t>14</w:t>
        </w:r>
      </w:hyperlink>
      <w:r>
        <w:t xml:space="preserve">, </w:t>
      </w:r>
      <w:hyperlink w:anchor="P321" w:history="1">
        <w:r>
          <w:rPr>
            <w:color w:val="0000FF"/>
          </w:rPr>
          <w:t>22</w:t>
        </w:r>
      </w:hyperlink>
      <w:r>
        <w:t xml:space="preserve">, </w:t>
      </w:r>
      <w:hyperlink w:anchor="P322" w:history="1">
        <w:r>
          <w:rPr>
            <w:color w:val="0000FF"/>
          </w:rPr>
          <w:t>23</w:t>
        </w:r>
      </w:hyperlink>
      <w:r>
        <w:t xml:space="preserve">, </w:t>
      </w:r>
      <w:hyperlink w:anchor="P328" w:history="1">
        <w:r>
          <w:rPr>
            <w:color w:val="0000FF"/>
          </w:rPr>
          <w:t>29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484" w:history="1">
        <w:r>
          <w:rPr>
            <w:color w:val="0000FF"/>
          </w:rPr>
          <w:t>C</w:t>
        </w:r>
      </w:hyperlink>
      <w:r>
        <w:t xml:space="preserve"> (уровень достоверности доказательств - 4)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Рекомендуется всем пациентам с предполагаемыми анафилаксией или АШ оценить характерные для клинической картины жалобы с целью постановки диагноза, определения варианта, характера течения, степени тяжести заболевания [</w:t>
      </w:r>
      <w:hyperlink w:anchor="P303" w:history="1">
        <w:r>
          <w:rPr>
            <w:color w:val="0000FF"/>
          </w:rPr>
          <w:t>4</w:t>
        </w:r>
      </w:hyperlink>
      <w:r>
        <w:t xml:space="preserve">, </w:t>
      </w:r>
      <w:hyperlink w:anchor="P321" w:history="1">
        <w:r>
          <w:rPr>
            <w:color w:val="0000FF"/>
          </w:rPr>
          <w:t>22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Уровень убедительности данных </w:t>
      </w:r>
      <w:hyperlink w:anchor="P484" w:history="1">
        <w:r>
          <w:rPr>
            <w:color w:val="0000FF"/>
          </w:rPr>
          <w:t>C</w:t>
        </w:r>
      </w:hyperlink>
      <w:r>
        <w:t xml:space="preserve"> (уровень достоверности данных 5)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Комментарий: Жалобы пациента зависят от степени тяжести, доминирующей клинической симптоматики, характера течения АШ.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Жалобы (при сохраненном сознании) на кожный зуд, высыпания на коже, отек глаз, слизистой полости рта, слизистые выделения из носа, чихание, кашель, одышку, боли в груди, животе, металлический привкус во рту, беспокойство, чувство страха, тревогу, озноб, слабость, головокружение, онемение языка, пальцев, шум в ушах, ухудшение зрения, тошноту, схваткообразные боли в животе [</w:t>
      </w:r>
      <w:hyperlink w:anchor="P321" w:history="1">
        <w:r>
          <w:rPr>
            <w:color w:val="0000FF"/>
          </w:rPr>
          <w:t>22</w:t>
        </w:r>
      </w:hyperlink>
      <w:r>
        <w:t xml:space="preserve">, </w:t>
      </w:r>
      <w:hyperlink w:anchor="P329" w:history="1">
        <w:r>
          <w:rPr>
            <w:color w:val="0000FF"/>
          </w:rPr>
          <w:t>30</w:t>
        </w:r>
      </w:hyperlink>
      <w:r>
        <w:t>].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2"/>
      </w:pPr>
      <w:r>
        <w:t>2.2 Физикальное обследование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- Рекомендуется всем пациентам с анафилаксией или АШ провести физикальный осмотр с целью постановки диагноза, определения варианта, характера течения, степени тяжести [</w:t>
      </w:r>
      <w:hyperlink w:anchor="P321" w:history="1">
        <w:r>
          <w:rPr>
            <w:color w:val="0000FF"/>
          </w:rPr>
          <w:t>22</w:t>
        </w:r>
      </w:hyperlink>
      <w:r>
        <w:t xml:space="preserve">, </w:t>
      </w:r>
      <w:hyperlink w:anchor="P323" w:history="1">
        <w:r>
          <w:rPr>
            <w:color w:val="0000FF"/>
          </w:rPr>
          <w:t>24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484" w:history="1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Комментарий: Обязательным критерием анафилаксии/АШ являются жизнеугрожающие нарушения со стороны дыхания и/или снижение АД в сочетании с нарушениями со стороны других органов и систем: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lastRenderedPageBreak/>
        <w:t>- сердечно-сосудистой системы: тахикардия, брадикардия, нарушения ритма сердца, сжимающая боль за грудиной, шум в ушах, парестезии, недержание мочи, кала, остановка сердца;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кожных покровов и слизистых: эритема и гиперемия, генерализованный зуд кожи и слизистых, уртикарные высыпания, ангиоотек губ, языка, периорбитальный отек, конъюнктивит, на более поздних стадиях - бледность, холодный пот, цианоз губ;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дыхательной системы: ринит, ринорея, чихание, одышка, кашель, бронхоспазм, гиперсекреция слизи, дисфония, стридор, отек дыхательных путей (возможно развитие асфиксии при отеке гортани);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центральной нервной системы: головная боль, головокружение, изменение поведения, возбуждение, вялость, страх смерти, судороги, потеря сознания, мидриаз;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желудочно-кишечного тракта: боль в животе, тошнота, рвота, диарея;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других органов и систем: металлический привкус во рту, метроррагия [</w:t>
      </w:r>
      <w:hyperlink w:anchor="P321" w:history="1">
        <w:r>
          <w:rPr>
            <w:color w:val="0000FF"/>
          </w:rPr>
          <w:t>22</w:t>
        </w:r>
      </w:hyperlink>
      <w:r>
        <w:t>].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2"/>
      </w:pPr>
      <w:r>
        <w:t>2.3 Лабораторные диагностические исследования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- Рекомендуется пациентам с подозрением на анафилаксию/АШ для дифференциальной диагностики с другими видами шока определение активности сывороточной триптазы в крови через 15 минут - 3 часа после возникновения первых симптомов и после выздоровления [</w:t>
      </w:r>
      <w:hyperlink w:anchor="P311" w:history="1">
        <w:r>
          <w:rPr>
            <w:color w:val="0000FF"/>
          </w:rPr>
          <w:t>12</w:t>
        </w:r>
      </w:hyperlink>
      <w:r>
        <w:t xml:space="preserve">, </w:t>
      </w:r>
      <w:hyperlink w:anchor="P318" w:history="1">
        <w:r>
          <w:rPr>
            <w:color w:val="0000FF"/>
          </w:rPr>
          <w:t>19</w:t>
        </w:r>
      </w:hyperlink>
      <w:r>
        <w:t>]. Диагностически значимым является повышение уровня триптазы выше, чем (1,2 x базальный уровень триптазы + 2 мг/дл) [</w:t>
      </w:r>
      <w:hyperlink w:anchor="P326" w:history="1">
        <w:r>
          <w:rPr>
            <w:color w:val="0000FF"/>
          </w:rPr>
          <w:t>27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- </w:t>
      </w:r>
      <w:hyperlink w:anchor="P484" w:history="1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Комментарии: Нормальный уровень сывороточной триптазы не исключает диагноз АШ. Уровень сывороточной триптазы может повышаться при других состояниях (инфаркт миокарда, травма, эмболия амниотическими водами, синдром внезапной младенческой смерти, мастоцитоз) [</w:t>
      </w:r>
      <w:hyperlink w:anchor="P330" w:history="1">
        <w:r>
          <w:rPr>
            <w:color w:val="0000FF"/>
          </w:rPr>
          <w:t>31</w:t>
        </w:r>
      </w:hyperlink>
      <w:r>
        <w:t xml:space="preserve">, </w:t>
      </w:r>
      <w:hyperlink w:anchor="P331" w:history="1">
        <w:r>
          <w:rPr>
            <w:color w:val="0000FF"/>
          </w:rPr>
          <w:t>32</w:t>
        </w:r>
      </w:hyperlink>
      <w:r>
        <w:t>]. В настоящее время тест недоступен к экстренному применению в широкой клинической практике.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2"/>
      </w:pPr>
      <w:r>
        <w:t>2.4 Инструментальные диагностические исследования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- Рекомендуется всем пациентам с анафилаксией/АШ обязательно мониторировать АД, пульс, частоту дыхательных движений для оказания неотложной помощи [</w:t>
      </w:r>
      <w:hyperlink w:anchor="P332" w:history="1">
        <w:r>
          <w:rPr>
            <w:color w:val="0000FF"/>
          </w:rPr>
          <w:t>33</w:t>
        </w:r>
      </w:hyperlink>
      <w:r>
        <w:t xml:space="preserve">, </w:t>
      </w:r>
      <w:hyperlink w:anchor="P333" w:history="1">
        <w:r>
          <w:rPr>
            <w:color w:val="0000FF"/>
          </w:rPr>
          <w:t>34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484" w:history="1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Комментарий: при отсутствии возможности подсоединить монитор измерять АД, пульс вручную каждые 2 - 5 минут, контролировать уровень оксигенации [</w:t>
      </w:r>
      <w:hyperlink w:anchor="P303" w:history="1">
        <w:r>
          <w:rPr>
            <w:color w:val="0000FF"/>
          </w:rPr>
          <w:t>4</w:t>
        </w:r>
      </w:hyperlink>
      <w:r>
        <w:t>].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2"/>
      </w:pPr>
      <w:r>
        <w:t>2.5 Иные диагностические исследования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Не проводятся.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1"/>
      </w:pPr>
      <w:r>
        <w:t>3. Лечение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2"/>
      </w:pPr>
      <w:r>
        <w:t>3.1 Консервативное лечение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При выявлении критериев анафилаксии, АШ любыми лицами необходимо немедленно вызвать помощь для оказания первой медицинской помощи [</w:t>
      </w:r>
      <w:hyperlink w:anchor="P321" w:history="1">
        <w:r>
          <w:rPr>
            <w:color w:val="0000FF"/>
          </w:rPr>
          <w:t>22</w:t>
        </w:r>
      </w:hyperlink>
      <w:r>
        <w:t xml:space="preserve">, </w:t>
      </w:r>
      <w:hyperlink w:anchor="P329" w:history="1">
        <w:r>
          <w:rPr>
            <w:color w:val="0000FF"/>
          </w:rPr>
          <w:t>30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- Рекомендуется всем пациентам с анафилаксией/АШ незамедлительно ввести эпинефрин** </w:t>
      </w:r>
      <w:r>
        <w:lastRenderedPageBreak/>
        <w:t>для купирования анафилаксии/АШ [</w:t>
      </w:r>
      <w:hyperlink w:anchor="P312" w:history="1">
        <w:r>
          <w:rPr>
            <w:color w:val="0000FF"/>
          </w:rPr>
          <w:t>13</w:t>
        </w:r>
      </w:hyperlink>
      <w:r>
        <w:t xml:space="preserve">, </w:t>
      </w:r>
      <w:hyperlink w:anchor="P334" w:history="1">
        <w:r>
          <w:rPr>
            <w:color w:val="0000FF"/>
          </w:rPr>
          <w:t>35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480" w:history="1">
        <w:r>
          <w:rPr>
            <w:color w:val="0000FF"/>
          </w:rPr>
          <w:t>A</w:t>
        </w:r>
      </w:hyperlink>
      <w:r>
        <w:t xml:space="preserve"> (уровень достоверности доказательств - 3)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Рекомендуется всем пациентам с анафилаксией/АШ в/м введение эпинефрина** в переднебоковую поверхность верхней трети бедра, при необходимости - через одежду (данная локализация предпочтительна в сравнении с введением в дельтовидную мышцу и подкожным введением) для купирования анафилаксии/АШ [</w:t>
      </w:r>
      <w:hyperlink w:anchor="P334" w:history="1">
        <w:r>
          <w:rPr>
            <w:color w:val="0000FF"/>
          </w:rPr>
          <w:t>35</w:t>
        </w:r>
      </w:hyperlink>
      <w:r>
        <w:t xml:space="preserve">, </w:t>
      </w:r>
      <w:hyperlink w:anchor="P335" w:history="1">
        <w:r>
          <w:rPr>
            <w:color w:val="0000FF"/>
          </w:rPr>
          <w:t>36</w:t>
        </w:r>
      </w:hyperlink>
      <w:r>
        <w:t xml:space="preserve">, </w:t>
      </w:r>
      <w:hyperlink w:anchor="P336" w:history="1">
        <w:r>
          <w:rPr>
            <w:color w:val="0000FF"/>
          </w:rPr>
          <w:t>37</w:t>
        </w:r>
      </w:hyperlink>
      <w:r>
        <w:t xml:space="preserve">, </w:t>
      </w:r>
      <w:hyperlink w:anchor="P337" w:history="1">
        <w:r>
          <w:rPr>
            <w:color w:val="0000FF"/>
          </w:rPr>
          <w:t>38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482" w:history="1">
        <w:r>
          <w:rPr>
            <w:color w:val="0000FF"/>
          </w:rPr>
          <w:t>B</w:t>
        </w:r>
      </w:hyperlink>
      <w:r>
        <w:t xml:space="preserve"> (уровень достоверности доказательств - 2)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Рекомендуется всем пациентам с анафилаксией/АШ введение эпинефрина** из расчета 0,01 мг/кг, максимальная разовая доза для взрослого пациента составляет 0,5 мг, для ребенка - 6 - 12 лет - 0,3 мг, до 6 лет - 0,15 мг для купирования анафилаксии/АШ [</w:t>
      </w:r>
      <w:hyperlink w:anchor="P301" w:history="1">
        <w:r>
          <w:rPr>
            <w:color w:val="0000FF"/>
          </w:rPr>
          <w:t>2</w:t>
        </w:r>
      </w:hyperlink>
      <w:r>
        <w:t xml:space="preserve">, </w:t>
      </w:r>
      <w:hyperlink w:anchor="P321" w:history="1">
        <w:r>
          <w:rPr>
            <w:color w:val="0000FF"/>
          </w:rPr>
          <w:t>22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484" w:history="1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Рекомендуется пациенту с анафилаксией/АШ при отсутствии ответа на первую дозу не менее чем через 5 минут в/м ввести повторную дозу эпинефрина** для достижения клинического эффекта [</w:t>
      </w:r>
      <w:hyperlink w:anchor="P329" w:history="1">
        <w:r>
          <w:rPr>
            <w:color w:val="0000FF"/>
          </w:rPr>
          <w:t>30</w:t>
        </w:r>
      </w:hyperlink>
      <w:r>
        <w:t xml:space="preserve">, </w:t>
      </w:r>
      <w:hyperlink w:anchor="P338" w:history="1">
        <w:r>
          <w:rPr>
            <w:color w:val="0000FF"/>
          </w:rPr>
          <w:t>39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484" w:history="1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Рекомендуется пациенту с анафилаксией/АШ при недостаточном ответе на 2 и более дозы эпинефрина** в/м, в/в введение эпинефрина** осуществлять только при мониторировании сердечной деятельности [</w:t>
      </w:r>
      <w:hyperlink w:anchor="P329" w:history="1">
        <w:r>
          <w:rPr>
            <w:color w:val="0000FF"/>
          </w:rPr>
          <w:t>30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482" w:history="1">
        <w:r>
          <w:rPr>
            <w:color w:val="0000FF"/>
          </w:rPr>
          <w:t>B</w:t>
        </w:r>
      </w:hyperlink>
      <w:r>
        <w:t xml:space="preserve"> (уровень достоверности доказательств - 3)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Рекомендуется пациенту с анафилаксией/АШ при отсутствии эффекта от в/м введения эпинефрина** ввести его в/в в разведении до 1:10000 (1 мл раствора эпинефрина** на 10 мл раствора натрия хлорида** 0,9%) для купирования анафилаксии/АШ [</w:t>
      </w:r>
      <w:hyperlink w:anchor="P338" w:history="1">
        <w:r>
          <w:rPr>
            <w:color w:val="0000FF"/>
          </w:rPr>
          <w:t>39</w:t>
        </w:r>
      </w:hyperlink>
      <w:r>
        <w:t xml:space="preserve">, </w:t>
      </w:r>
      <w:hyperlink w:anchor="P341" w:history="1">
        <w:r>
          <w:rPr>
            <w:color w:val="0000FF"/>
          </w:rPr>
          <w:t>42</w:t>
        </w:r>
      </w:hyperlink>
      <w:r>
        <w:t xml:space="preserve">, </w:t>
      </w:r>
      <w:hyperlink w:anchor="P342" w:history="1">
        <w:r>
          <w:rPr>
            <w:color w:val="0000FF"/>
          </w:rPr>
          <w:t>43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484" w:history="1">
        <w:r>
          <w:rPr>
            <w:color w:val="0000FF"/>
          </w:rPr>
          <w:t>C</w:t>
        </w:r>
      </w:hyperlink>
      <w:r>
        <w:t xml:space="preserve"> (уровень достоверности доказательств 5).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Рекомендуется пациенту с анафилаксией/АШ при неэффективности трех болюсов эпинефрина**, введенных в/в или в/м, начать инфузию эпинефрина** в дозе 0,1 мкг/кг/мин с титрованием дозы (до 1 мкг/кг/мин) для купирования анафилаксии/АШ [</w:t>
      </w:r>
      <w:hyperlink w:anchor="P341" w:history="1">
        <w:r>
          <w:rPr>
            <w:color w:val="0000FF"/>
          </w:rPr>
          <w:t>42</w:t>
        </w:r>
      </w:hyperlink>
      <w:r>
        <w:t xml:space="preserve">, </w:t>
      </w:r>
      <w:hyperlink w:anchor="P343" w:history="1">
        <w:r>
          <w:rPr>
            <w:color w:val="0000FF"/>
          </w:rPr>
          <w:t>44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484" w:history="1">
        <w:r>
          <w:rPr>
            <w:color w:val="0000FF"/>
          </w:rPr>
          <w:t>C</w:t>
        </w:r>
      </w:hyperlink>
      <w:r>
        <w:t xml:space="preserve"> (уровень достоверности доказательств 5).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Рекомендуется всем пациентам с анафилаксией/АШ прекратить поступление предполагаемого аллергена в организм для купирования анафилаксии/АШ [</w:t>
      </w:r>
      <w:hyperlink w:anchor="P303" w:history="1">
        <w:r>
          <w:rPr>
            <w:color w:val="0000FF"/>
          </w:rPr>
          <w:t>4</w:t>
        </w:r>
      </w:hyperlink>
      <w:r>
        <w:t xml:space="preserve">, </w:t>
      </w:r>
      <w:hyperlink w:anchor="P329" w:history="1">
        <w:r>
          <w:rPr>
            <w:color w:val="0000FF"/>
          </w:rPr>
          <w:t>30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484" w:history="1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Комментарий: при развитии АШ на: в/в введение ЛС - немедленно остановить введение ЛС, сохранить венозный доступ; яд перепончатокрылых - удалить жало (при наличии), выше места ужаления на конечность наложить венозный жгут [</w:t>
      </w:r>
      <w:hyperlink w:anchor="P303" w:history="1">
        <w:r>
          <w:rPr>
            <w:color w:val="0000FF"/>
          </w:rPr>
          <w:t>4</w:t>
        </w:r>
      </w:hyperlink>
      <w:r>
        <w:t>]. Если удаление аллергена требует значительных затрат времени (например, промывания желудка), делать этого не следует.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Рекомендуется всех пациентов с анафилаксей/АШ уложить в положение на спине, приподнять нижние конечности. В случае, если пациент без сознания, провести прием Сафара для обеспечения проходимости дыхательных путей [</w:t>
      </w:r>
      <w:hyperlink w:anchor="P303" w:history="1">
        <w:r>
          <w:rPr>
            <w:color w:val="0000FF"/>
          </w:rPr>
          <w:t>4</w:t>
        </w:r>
      </w:hyperlink>
      <w:r>
        <w:t xml:space="preserve">, </w:t>
      </w:r>
      <w:hyperlink w:anchor="P343" w:history="1">
        <w:r>
          <w:rPr>
            <w:color w:val="0000FF"/>
          </w:rPr>
          <w:t>44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484" w:history="1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lastRenderedPageBreak/>
        <w:t>Комментарий: нельзя поднимать пациента или переводить его в положение сидя, так как это в течение нескольких секунд может привести к фатальному исходу.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В случае, если пациент без сознания, следует повернуть его голову в сторону, выдвинуть нижнюю челюсть для предупреждения западения языка, асфиксии и предотвращения аспирации рвотными массами. Если у пациента установлены зубные протезы, их необходимо удалить [</w:t>
      </w:r>
      <w:hyperlink w:anchor="P303" w:history="1">
        <w:r>
          <w:rPr>
            <w:color w:val="0000FF"/>
          </w:rPr>
          <w:t>4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Рекомендуется всем пациентам с анафилаксией/АШ обеспечить поступление кислорода средним потоком через лицевую маску для восполнения кислорода в тканях организма [</w:t>
      </w:r>
      <w:hyperlink w:anchor="P327" w:history="1">
        <w:r>
          <w:rPr>
            <w:color w:val="0000FF"/>
          </w:rPr>
          <w:t>28</w:t>
        </w:r>
      </w:hyperlink>
      <w:r>
        <w:t xml:space="preserve">, </w:t>
      </w:r>
      <w:hyperlink w:anchor="P329" w:history="1">
        <w:r>
          <w:rPr>
            <w:color w:val="0000FF"/>
          </w:rPr>
          <w:t>30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484" w:history="1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Рекомендуется пациенту с анафилаксией/АШ после введения эпинефрина** в/в введение солевых растворов болюсно для профилактики гиповолемии [</w:t>
      </w:r>
      <w:hyperlink w:anchor="P329" w:history="1">
        <w:r>
          <w:rPr>
            <w:color w:val="0000FF"/>
          </w:rPr>
          <w:t>30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Комментарий: если вызвавшее аллергию ЛС вводилось в/в, то необходимо сохранить доступ [</w:t>
      </w:r>
      <w:hyperlink w:anchor="P323" w:history="1">
        <w:r>
          <w:rPr>
            <w:color w:val="0000FF"/>
          </w:rPr>
          <w:t>24</w:t>
        </w:r>
      </w:hyperlink>
      <w:r>
        <w:t>]. Рекомендованная доза солевых растворов составляет 20 мл/кг массы тела [</w:t>
      </w:r>
      <w:hyperlink w:anchor="P327" w:history="1">
        <w:r>
          <w:rPr>
            <w:color w:val="0000FF"/>
          </w:rPr>
          <w:t>28</w:t>
        </w:r>
      </w:hyperlink>
      <w:r>
        <w:t>]. Применяется подогретый (по возможности) 0,9% раствор натрия хлорида** или, предпочтительнее, сбалансированный солевой раствор (500 - 1000 мл для пациента с нормотензией и 1000 - 2000 мл для пациента с артериальной гипотензией); при наличии в анамнезе сердечной недостаточности - не более 250 мл за 5 - 10 мин, у детей - 20 мл/кг [</w:t>
      </w:r>
      <w:hyperlink w:anchor="P342" w:history="1">
        <w:r>
          <w:rPr>
            <w:color w:val="0000FF"/>
          </w:rPr>
          <w:t>43</w:t>
        </w:r>
      </w:hyperlink>
      <w:r>
        <w:t>]. Растворы декстрозы** не рекомендуются вследствие быстрой экстравазации введенного объема [</w:t>
      </w:r>
      <w:hyperlink w:anchor="P344" w:history="1">
        <w:r>
          <w:rPr>
            <w:color w:val="0000FF"/>
          </w:rPr>
          <w:t>45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484" w:history="1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Рекомендуется пациенту с анафилаксией/АШ после введения эпинефрина** введение кортикостероидов для системного использования для снижения риска продленной фазы респираторных проявлений [</w:t>
      </w:r>
      <w:hyperlink w:anchor="P303" w:history="1">
        <w:r>
          <w:rPr>
            <w:color w:val="0000FF"/>
          </w:rPr>
          <w:t>4</w:t>
        </w:r>
      </w:hyperlink>
      <w:r>
        <w:t xml:space="preserve">, </w:t>
      </w:r>
      <w:hyperlink w:anchor="P329" w:history="1">
        <w:r>
          <w:rPr>
            <w:color w:val="0000FF"/>
          </w:rPr>
          <w:t>30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Начальные дозы: Взрослым: дексаметазон** 8 - 32 мг в/в капельно, или преднизолон** 90 - 120 мг в/в капельно или струйно, или #метилпреднизолон** 50 - 120 мг в/в струйно, или гидрокортизон** 200 мг в/м или в/в медленно, #бетаметазон 8 - 32 мг в/в капельно. Детям: #метилпреднизолон** 1 мг/кг, максимум 50 мг, или #преднизолон** 2 - 5 мг/кг, или гидрокортизон** детям старше 12 лет - 100 мг, 6 - 12 лет - 50 мг, младше 6 лет - 25 мг в/м или в/в медленно, или #бетаметазон 20 - 125 мкг/кг или 0,6 - 3,75 мг/мл через 12 или 24 ч. [</w:t>
      </w:r>
      <w:hyperlink w:anchor="P338" w:history="1">
        <w:r>
          <w:rPr>
            <w:color w:val="0000FF"/>
          </w:rPr>
          <w:t>39</w:t>
        </w:r>
      </w:hyperlink>
      <w:r>
        <w:t xml:space="preserve">, </w:t>
      </w:r>
      <w:hyperlink w:anchor="P345" w:history="1">
        <w:r>
          <w:rPr>
            <w:color w:val="0000FF"/>
          </w:rPr>
          <w:t>46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484" w:history="1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Комментарии: Длительность и доза кортикостероидов для системного использования подбирается индивидуально в зависимости от тяжести клинических проявлений.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Не рекомендуется пульс-терапия кортикостероидами для системного использования пациентам с анафилаксией/АШ [</w:t>
      </w:r>
      <w:hyperlink w:anchor="P303" w:history="1">
        <w:r>
          <w:rPr>
            <w:color w:val="0000FF"/>
          </w:rPr>
          <w:t>4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Уровень убедительности данных </w:t>
      </w:r>
      <w:hyperlink w:anchor="P484" w:history="1">
        <w:r>
          <w:rPr>
            <w:color w:val="0000FF"/>
          </w:rPr>
          <w:t>C</w:t>
        </w:r>
      </w:hyperlink>
      <w:r>
        <w:t xml:space="preserve"> (уровень достоверности данных 5)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Рекомендуется пациенту с анафилаксией/АШ после стабилизации АД, если есть проявления со стороны кожи и слизистых, введение антигистаминных препаратов системного действия для уменьшения проницаемости капилляров, отека тканей, зуда и гиперемии.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Рекомендуемые дозировки: клемастин 0,1% - 2 мл (2 мг) взрослым для в/в или в/м введения, детям - в/м по 25 мкг/кг в сутки, разделяя на 2 инъекции; хлоропирамин** 2% - 1 мл (20 мг) для в/в или в/м введения взрослым 1 - 2 мл, детям - начинают лечение с дозы 5 мг (0,25 мл); дифенгидрамин** для взрослого - 25 - 50 мг, для ребенка весом менее 35 - 40 кг - 1 мг/кг, максимально 50 мг [</w:t>
      </w:r>
      <w:hyperlink w:anchor="P300" w:history="1">
        <w:r>
          <w:rPr>
            <w:color w:val="0000FF"/>
          </w:rPr>
          <w:t>1</w:t>
        </w:r>
      </w:hyperlink>
      <w:r>
        <w:t xml:space="preserve">, </w:t>
      </w:r>
      <w:hyperlink w:anchor="P331" w:history="1">
        <w:r>
          <w:rPr>
            <w:color w:val="0000FF"/>
          </w:rPr>
          <w:t>32</w:t>
        </w:r>
      </w:hyperlink>
      <w:r>
        <w:t xml:space="preserve">, </w:t>
      </w:r>
      <w:hyperlink w:anchor="P338" w:history="1">
        <w:r>
          <w:rPr>
            <w:color w:val="0000FF"/>
          </w:rPr>
          <w:t>39</w:t>
        </w:r>
      </w:hyperlink>
      <w:r>
        <w:t xml:space="preserve">, </w:t>
      </w:r>
      <w:hyperlink w:anchor="P346" w:history="1">
        <w:r>
          <w:rPr>
            <w:color w:val="0000FF"/>
          </w:rPr>
          <w:t>47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lastRenderedPageBreak/>
        <w:t xml:space="preserve">Уровень убедительности рекомендаций </w:t>
      </w:r>
      <w:hyperlink w:anchor="P484" w:history="1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Комментарий: Начало действия антигистаминных препаратов существенно превышает начало действия эпинефрина**, поэтому в данном случае нет пользы их немедленного введения после возникновения эпизода анафилаксии/АШ. Но существенным ограничением является факт возможного усугубления гипотензии при быстром внутривенном введении. Поэтому для взрослых дифенгидрамин** назначается медленно (не менее 5 мин) внутривенно в дозе 25 - 50 мг [</w:t>
      </w:r>
      <w:hyperlink w:anchor="P344" w:history="1">
        <w:r>
          <w:rPr>
            <w:color w:val="0000FF"/>
          </w:rPr>
          <w:t>45</w:t>
        </w:r>
      </w:hyperlink>
      <w:r>
        <w:t>]. Детям, весом менее 35 - 40 кг - 1 мл/кг, максимально 50 мг. Запрещен при недоношенности и в период новорожденности.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Рекомендуется пациентам с анафилаксией/АШ при сохраняющемся бронхоспазме, несмотря на введение эпинефрина**, применение бета2-адреностимулятора селективного [</w:t>
      </w:r>
      <w:hyperlink w:anchor="P329" w:history="1">
        <w:r>
          <w:rPr>
            <w:color w:val="0000FF"/>
          </w:rPr>
          <w:t>30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484" w:history="1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2"/>
      </w:pPr>
      <w:r>
        <w:t>3.2 Хирургическое лечение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Не проводится.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2"/>
      </w:pPr>
      <w:r>
        <w:t>3.3 Иное лечение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Не проводится.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Диетотерапия и обезболивание не применяется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1"/>
      </w:pPr>
      <w:r>
        <w:t>4. Реабилитация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Не разработана.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1"/>
      </w:pPr>
      <w:r>
        <w:t>5. Профилактика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- Рекомендуется всем пациентам с анафилаксией/АШ консультация врача аллерголога-иммунолога для выявления аллергена, вызвавшего АШ, и получения рекомендаций по дальнейшему предотвращению контакта с аллергеном [</w:t>
      </w:r>
      <w:hyperlink w:anchor="P329" w:history="1">
        <w:r>
          <w:rPr>
            <w:color w:val="0000FF"/>
          </w:rPr>
          <w:t>30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484" w:history="1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Рекомендуется всех пациентов с анафилаксией/АШ обучить оказанию первой помощи в случае развития повторного АШ [</w:t>
      </w:r>
      <w:hyperlink w:anchor="P329" w:history="1">
        <w:r>
          <w:rPr>
            <w:color w:val="0000FF"/>
          </w:rPr>
          <w:t>30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484" w:history="1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Рекомендуется всем пациентам с отягощенным аллергологическим анамнезом перед оперативным вмешательством, рентгеноконтрастным исследованием проводить премедикацию: за 1 час до вмешательства вводят #дексаметазон** 4 - 8 мг или #преднизолон** 30 - 60 мг в/м или в/в капельно на 0,9%-растворе натрия хлорида**; клемастин 0,1% - 2 мл или #хлоропирамин** 0,2% - 1 - 2 мл в/м или в/в на 0,9% растворе натрия хлорида** или 5% растворе декстрозы** [</w:t>
      </w:r>
      <w:hyperlink w:anchor="P338" w:history="1">
        <w:r>
          <w:rPr>
            <w:color w:val="0000FF"/>
          </w:rPr>
          <w:t>39</w:t>
        </w:r>
      </w:hyperlink>
      <w:r>
        <w:t>].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484" w:history="1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2"/>
      </w:pPr>
      <w:r>
        <w:t>Организация оказания медицинской помощи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Вызов реанимационной бригады или скорой медицинской помощи.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Показания к госпитализации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lastRenderedPageBreak/>
        <w:t>Показана экстренная госпитализация в стационар с отделением интенсивной терапии и реанимации при диагностике анафилаксии/АШ. Госпитализация в отделении реанимации не менее 24 часов.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Показания к выписке пациента из стационара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При купировании анафилаксии или АШ, учитывая невозможность предсказать их затяжное или рецидивирующее течение, показана госпитализация на срок не менее 12 - 24 часов [</w:t>
      </w:r>
      <w:hyperlink w:anchor="P329" w:history="1">
        <w:r>
          <w:rPr>
            <w:color w:val="0000FF"/>
          </w:rPr>
          <w:t>30</w:t>
        </w:r>
      </w:hyperlink>
      <w:r>
        <w:t>]. При необходимости возможно продление на 2 - 3 суток. В течение 3 - 4 недель могут сохраняться нарушения функции различных органов и систем, в связи с чем требуется амбулаторное наблюдение [</w:t>
      </w:r>
      <w:hyperlink w:anchor="P323" w:history="1">
        <w:r>
          <w:rPr>
            <w:color w:val="0000FF"/>
          </w:rPr>
          <w:t>24</w:t>
        </w:r>
      </w:hyperlink>
      <w:r>
        <w:t>].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1"/>
      </w:pPr>
      <w:r>
        <w:t>6. Дополнительная информация, влияющая на течение</w:t>
      </w:r>
    </w:p>
    <w:p w:rsidR="00054AFF" w:rsidRDefault="00054AFF">
      <w:pPr>
        <w:pStyle w:val="ConsPlusTitle"/>
        <w:jc w:val="center"/>
      </w:pPr>
      <w:r>
        <w:t>и исход заболевания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Прогноз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Даже при правильно оказанной медицинской помощи возможен летальный исход [</w:t>
      </w:r>
      <w:hyperlink w:anchor="P332" w:history="1">
        <w:r>
          <w:rPr>
            <w:color w:val="0000FF"/>
          </w:rPr>
          <w:t>33</w:t>
        </w:r>
      </w:hyperlink>
      <w:r>
        <w:t xml:space="preserve">, </w:t>
      </w:r>
      <w:hyperlink w:anchor="P333" w:history="1">
        <w:r>
          <w:rPr>
            <w:color w:val="0000FF"/>
          </w:rPr>
          <w:t>34</w:t>
        </w:r>
      </w:hyperlink>
      <w:r>
        <w:t xml:space="preserve">, </w:t>
      </w:r>
      <w:hyperlink w:anchor="P342" w:history="1">
        <w:r>
          <w:rPr>
            <w:color w:val="0000FF"/>
          </w:rPr>
          <w:t>43</w:t>
        </w:r>
      </w:hyperlink>
      <w:r>
        <w:t xml:space="preserve">, </w:t>
      </w:r>
      <w:hyperlink w:anchor="P343" w:history="1">
        <w:r>
          <w:rPr>
            <w:color w:val="0000FF"/>
          </w:rPr>
          <w:t>44</w:t>
        </w:r>
      </w:hyperlink>
      <w:r>
        <w:t xml:space="preserve">, </w:t>
      </w:r>
      <w:hyperlink w:anchor="P344" w:history="1">
        <w:r>
          <w:rPr>
            <w:color w:val="0000FF"/>
          </w:rPr>
          <w:t>45</w:t>
        </w:r>
      </w:hyperlink>
      <w:r>
        <w:t xml:space="preserve">, </w:t>
      </w:r>
      <w:hyperlink w:anchor="P347" w:history="1">
        <w:r>
          <w:rPr>
            <w:color w:val="0000FF"/>
          </w:rPr>
          <w:t>48</w:t>
        </w:r>
      </w:hyperlink>
      <w:r>
        <w:t xml:space="preserve">, </w:t>
      </w:r>
      <w:hyperlink w:anchor="P348" w:history="1">
        <w:r>
          <w:rPr>
            <w:color w:val="0000FF"/>
          </w:rPr>
          <w:t>49</w:t>
        </w:r>
      </w:hyperlink>
      <w:r>
        <w:t xml:space="preserve">, </w:t>
      </w:r>
      <w:hyperlink w:anchor="P349" w:history="1">
        <w:r>
          <w:rPr>
            <w:color w:val="0000FF"/>
          </w:rPr>
          <w:t>50</w:t>
        </w:r>
      </w:hyperlink>
      <w:r>
        <w:t xml:space="preserve">, </w:t>
      </w:r>
      <w:hyperlink w:anchor="P350" w:history="1">
        <w:r>
          <w:rPr>
            <w:color w:val="0000FF"/>
          </w:rPr>
          <w:t>51</w:t>
        </w:r>
      </w:hyperlink>
      <w:r>
        <w:t>].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1"/>
      </w:pPr>
      <w:r>
        <w:t>Критерии оценки качества медицинской помощи</w:t>
      </w:r>
    </w:p>
    <w:p w:rsidR="00054AFF" w:rsidRDefault="00054A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3"/>
        <w:gridCol w:w="5839"/>
        <w:gridCol w:w="1247"/>
        <w:gridCol w:w="1190"/>
      </w:tblGrid>
      <w:tr w:rsidR="00054AFF">
        <w:tc>
          <w:tcPr>
            <w:tcW w:w="793" w:type="dxa"/>
          </w:tcPr>
          <w:p w:rsidR="00054AFF" w:rsidRDefault="00054AF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839" w:type="dxa"/>
          </w:tcPr>
          <w:p w:rsidR="00054AFF" w:rsidRDefault="00054AFF">
            <w:pPr>
              <w:pStyle w:val="ConsPlusNormal"/>
              <w:jc w:val="center"/>
            </w:pPr>
            <w:r>
              <w:t>Критерии качества</w:t>
            </w:r>
          </w:p>
        </w:tc>
        <w:tc>
          <w:tcPr>
            <w:tcW w:w="2437" w:type="dxa"/>
            <w:gridSpan w:val="2"/>
          </w:tcPr>
          <w:p w:rsidR="00054AFF" w:rsidRDefault="00054AFF">
            <w:pPr>
              <w:pStyle w:val="ConsPlusNormal"/>
              <w:jc w:val="center"/>
            </w:pPr>
            <w:r>
              <w:t>Оценка выполнения</w:t>
            </w:r>
          </w:p>
        </w:tc>
      </w:tr>
      <w:tr w:rsidR="00054AFF">
        <w:tc>
          <w:tcPr>
            <w:tcW w:w="793" w:type="dxa"/>
          </w:tcPr>
          <w:p w:rsidR="00054AFF" w:rsidRDefault="00054AFF">
            <w:pPr>
              <w:pStyle w:val="ConsPlusNormal"/>
            </w:pPr>
            <w:r>
              <w:t>1</w:t>
            </w:r>
          </w:p>
        </w:tc>
        <w:tc>
          <w:tcPr>
            <w:tcW w:w="5839" w:type="dxa"/>
          </w:tcPr>
          <w:p w:rsidR="00054AFF" w:rsidRDefault="00054AFF">
            <w:pPr>
              <w:pStyle w:val="ConsPlusNormal"/>
            </w:pPr>
            <w:r>
              <w:t>Прекращение поступления аллергена в организм</w:t>
            </w:r>
          </w:p>
        </w:tc>
        <w:tc>
          <w:tcPr>
            <w:tcW w:w="1247" w:type="dxa"/>
          </w:tcPr>
          <w:p w:rsidR="00054AFF" w:rsidRDefault="00054AFF">
            <w:pPr>
              <w:pStyle w:val="ConsPlusNormal"/>
            </w:pPr>
            <w:r>
              <w:t>Да</w:t>
            </w:r>
          </w:p>
        </w:tc>
        <w:tc>
          <w:tcPr>
            <w:tcW w:w="1190" w:type="dxa"/>
          </w:tcPr>
          <w:p w:rsidR="00054AFF" w:rsidRDefault="00054AFF">
            <w:pPr>
              <w:pStyle w:val="ConsPlusNormal"/>
            </w:pPr>
            <w:r>
              <w:t>Нет</w:t>
            </w:r>
          </w:p>
        </w:tc>
      </w:tr>
      <w:tr w:rsidR="00054AFF">
        <w:tc>
          <w:tcPr>
            <w:tcW w:w="793" w:type="dxa"/>
          </w:tcPr>
          <w:p w:rsidR="00054AFF" w:rsidRDefault="00054AFF">
            <w:pPr>
              <w:pStyle w:val="ConsPlusNormal"/>
            </w:pPr>
            <w:r>
              <w:t>2</w:t>
            </w:r>
          </w:p>
        </w:tc>
        <w:tc>
          <w:tcPr>
            <w:tcW w:w="5839" w:type="dxa"/>
          </w:tcPr>
          <w:p w:rsidR="00054AFF" w:rsidRDefault="00054AFF">
            <w:pPr>
              <w:pStyle w:val="ConsPlusNormal"/>
            </w:pPr>
            <w:r>
              <w:t>Немедленное введение эпинефрина**</w:t>
            </w:r>
          </w:p>
        </w:tc>
        <w:tc>
          <w:tcPr>
            <w:tcW w:w="1247" w:type="dxa"/>
          </w:tcPr>
          <w:p w:rsidR="00054AFF" w:rsidRDefault="00054AFF">
            <w:pPr>
              <w:pStyle w:val="ConsPlusNormal"/>
            </w:pPr>
            <w:r>
              <w:t>Да</w:t>
            </w:r>
          </w:p>
        </w:tc>
        <w:tc>
          <w:tcPr>
            <w:tcW w:w="1190" w:type="dxa"/>
          </w:tcPr>
          <w:p w:rsidR="00054AFF" w:rsidRDefault="00054AFF">
            <w:pPr>
              <w:pStyle w:val="ConsPlusNormal"/>
            </w:pPr>
            <w:r>
              <w:t>Нет</w:t>
            </w:r>
          </w:p>
        </w:tc>
      </w:tr>
      <w:tr w:rsidR="00054AFF">
        <w:tc>
          <w:tcPr>
            <w:tcW w:w="793" w:type="dxa"/>
          </w:tcPr>
          <w:p w:rsidR="00054AFF" w:rsidRDefault="00054AFF">
            <w:pPr>
              <w:pStyle w:val="ConsPlusNormal"/>
            </w:pPr>
            <w:r>
              <w:t>3</w:t>
            </w:r>
          </w:p>
        </w:tc>
        <w:tc>
          <w:tcPr>
            <w:tcW w:w="5839" w:type="dxa"/>
          </w:tcPr>
          <w:p w:rsidR="00054AFF" w:rsidRDefault="00054AFF">
            <w:pPr>
              <w:pStyle w:val="ConsPlusNormal"/>
            </w:pPr>
            <w:r>
              <w:t>Введение эпинефрина** должно проводиться в/м в переднебоковую поверхность верхней трети бедра</w:t>
            </w:r>
          </w:p>
        </w:tc>
        <w:tc>
          <w:tcPr>
            <w:tcW w:w="1247" w:type="dxa"/>
          </w:tcPr>
          <w:p w:rsidR="00054AFF" w:rsidRDefault="00054AFF">
            <w:pPr>
              <w:pStyle w:val="ConsPlusNormal"/>
            </w:pPr>
            <w:r>
              <w:t>Да</w:t>
            </w:r>
          </w:p>
        </w:tc>
        <w:tc>
          <w:tcPr>
            <w:tcW w:w="1190" w:type="dxa"/>
          </w:tcPr>
          <w:p w:rsidR="00054AFF" w:rsidRDefault="00054AFF">
            <w:pPr>
              <w:pStyle w:val="ConsPlusNormal"/>
            </w:pPr>
            <w:r>
              <w:t>Нет</w:t>
            </w:r>
          </w:p>
        </w:tc>
      </w:tr>
      <w:tr w:rsidR="00054AFF">
        <w:tc>
          <w:tcPr>
            <w:tcW w:w="793" w:type="dxa"/>
          </w:tcPr>
          <w:p w:rsidR="00054AFF" w:rsidRDefault="00054AFF">
            <w:pPr>
              <w:pStyle w:val="ConsPlusNormal"/>
            </w:pPr>
            <w:r>
              <w:t>4</w:t>
            </w:r>
          </w:p>
        </w:tc>
        <w:tc>
          <w:tcPr>
            <w:tcW w:w="5839" w:type="dxa"/>
          </w:tcPr>
          <w:p w:rsidR="00054AFF" w:rsidRDefault="00054AFF">
            <w:pPr>
              <w:pStyle w:val="ConsPlusNormal"/>
            </w:pPr>
            <w:r>
              <w:t>Введение кортикостероидов для системного использования для снижения риска продленной фазы респираторных проявлений</w:t>
            </w:r>
          </w:p>
        </w:tc>
        <w:tc>
          <w:tcPr>
            <w:tcW w:w="1247" w:type="dxa"/>
          </w:tcPr>
          <w:p w:rsidR="00054AFF" w:rsidRDefault="00054AFF">
            <w:pPr>
              <w:pStyle w:val="ConsPlusNormal"/>
            </w:pPr>
            <w:r>
              <w:t>Да</w:t>
            </w:r>
          </w:p>
        </w:tc>
        <w:tc>
          <w:tcPr>
            <w:tcW w:w="1190" w:type="dxa"/>
          </w:tcPr>
          <w:p w:rsidR="00054AFF" w:rsidRDefault="00054AFF">
            <w:pPr>
              <w:pStyle w:val="ConsPlusNormal"/>
            </w:pPr>
            <w:r>
              <w:t>Нет</w:t>
            </w:r>
          </w:p>
        </w:tc>
      </w:tr>
      <w:tr w:rsidR="00054AFF">
        <w:tc>
          <w:tcPr>
            <w:tcW w:w="793" w:type="dxa"/>
          </w:tcPr>
          <w:p w:rsidR="00054AFF" w:rsidRDefault="00054AFF">
            <w:pPr>
              <w:pStyle w:val="ConsPlusNormal"/>
            </w:pPr>
            <w:r>
              <w:t>5</w:t>
            </w:r>
          </w:p>
        </w:tc>
        <w:tc>
          <w:tcPr>
            <w:tcW w:w="5839" w:type="dxa"/>
          </w:tcPr>
          <w:p w:rsidR="00054AFF" w:rsidRDefault="00054AFF">
            <w:pPr>
              <w:pStyle w:val="ConsPlusNormal"/>
            </w:pPr>
            <w:r>
              <w:t>Вызов реанимационной бригады или скорой медицинской помощи</w:t>
            </w:r>
          </w:p>
        </w:tc>
        <w:tc>
          <w:tcPr>
            <w:tcW w:w="1247" w:type="dxa"/>
          </w:tcPr>
          <w:p w:rsidR="00054AFF" w:rsidRDefault="00054AFF">
            <w:pPr>
              <w:pStyle w:val="ConsPlusNormal"/>
            </w:pPr>
            <w:r>
              <w:t>Да</w:t>
            </w:r>
          </w:p>
        </w:tc>
        <w:tc>
          <w:tcPr>
            <w:tcW w:w="1190" w:type="dxa"/>
          </w:tcPr>
          <w:p w:rsidR="00054AFF" w:rsidRDefault="00054AFF">
            <w:pPr>
              <w:pStyle w:val="ConsPlusNormal"/>
            </w:pPr>
            <w:r>
              <w:t>Нет</w:t>
            </w:r>
          </w:p>
        </w:tc>
      </w:tr>
      <w:tr w:rsidR="00054AFF">
        <w:tc>
          <w:tcPr>
            <w:tcW w:w="793" w:type="dxa"/>
          </w:tcPr>
          <w:p w:rsidR="00054AFF" w:rsidRDefault="00054AFF">
            <w:pPr>
              <w:pStyle w:val="ConsPlusNormal"/>
            </w:pPr>
            <w:r>
              <w:t>6</w:t>
            </w:r>
          </w:p>
        </w:tc>
        <w:tc>
          <w:tcPr>
            <w:tcW w:w="5839" w:type="dxa"/>
          </w:tcPr>
          <w:p w:rsidR="00054AFF" w:rsidRDefault="00054AFF">
            <w:pPr>
              <w:pStyle w:val="ConsPlusNormal"/>
            </w:pPr>
            <w:r>
              <w:t>Положение больного горизонтально на спине с поднятыми нижними конечностями и повернутой набок головой</w:t>
            </w:r>
          </w:p>
        </w:tc>
        <w:tc>
          <w:tcPr>
            <w:tcW w:w="1247" w:type="dxa"/>
          </w:tcPr>
          <w:p w:rsidR="00054AFF" w:rsidRDefault="00054AFF">
            <w:pPr>
              <w:pStyle w:val="ConsPlusNormal"/>
            </w:pPr>
            <w:r>
              <w:t>Да</w:t>
            </w:r>
          </w:p>
        </w:tc>
        <w:tc>
          <w:tcPr>
            <w:tcW w:w="1190" w:type="dxa"/>
          </w:tcPr>
          <w:p w:rsidR="00054AFF" w:rsidRDefault="00054AFF">
            <w:pPr>
              <w:pStyle w:val="ConsPlusNormal"/>
            </w:pPr>
            <w:r>
              <w:t>Нет</w:t>
            </w:r>
          </w:p>
        </w:tc>
      </w:tr>
      <w:tr w:rsidR="00054AFF">
        <w:tc>
          <w:tcPr>
            <w:tcW w:w="793" w:type="dxa"/>
          </w:tcPr>
          <w:p w:rsidR="00054AFF" w:rsidRDefault="00054AFF">
            <w:pPr>
              <w:pStyle w:val="ConsPlusNormal"/>
            </w:pPr>
            <w:r>
              <w:t>7</w:t>
            </w:r>
          </w:p>
        </w:tc>
        <w:tc>
          <w:tcPr>
            <w:tcW w:w="5839" w:type="dxa"/>
          </w:tcPr>
          <w:p w:rsidR="00054AFF" w:rsidRDefault="00054AFF">
            <w:pPr>
              <w:pStyle w:val="ConsPlusNormal"/>
            </w:pPr>
            <w:r>
              <w:t>Рекомендована подача кислорода при средней скорости потока через лицевую маску</w:t>
            </w:r>
          </w:p>
        </w:tc>
        <w:tc>
          <w:tcPr>
            <w:tcW w:w="1247" w:type="dxa"/>
          </w:tcPr>
          <w:p w:rsidR="00054AFF" w:rsidRDefault="00054AFF">
            <w:pPr>
              <w:pStyle w:val="ConsPlusNormal"/>
            </w:pPr>
            <w:r>
              <w:t>Да</w:t>
            </w:r>
          </w:p>
        </w:tc>
        <w:tc>
          <w:tcPr>
            <w:tcW w:w="1190" w:type="dxa"/>
          </w:tcPr>
          <w:p w:rsidR="00054AFF" w:rsidRDefault="00054AFF">
            <w:pPr>
              <w:pStyle w:val="ConsPlusNormal"/>
            </w:pPr>
            <w:r>
              <w:t>Нет</w:t>
            </w:r>
          </w:p>
        </w:tc>
      </w:tr>
      <w:tr w:rsidR="00054AFF">
        <w:tc>
          <w:tcPr>
            <w:tcW w:w="793" w:type="dxa"/>
          </w:tcPr>
          <w:p w:rsidR="00054AFF" w:rsidRDefault="00054AFF">
            <w:pPr>
              <w:pStyle w:val="ConsPlusNormal"/>
            </w:pPr>
            <w:r>
              <w:t>8</w:t>
            </w:r>
          </w:p>
        </w:tc>
        <w:tc>
          <w:tcPr>
            <w:tcW w:w="5839" w:type="dxa"/>
          </w:tcPr>
          <w:p w:rsidR="00054AFF" w:rsidRDefault="00054AFF">
            <w:pPr>
              <w:pStyle w:val="ConsPlusNormal"/>
            </w:pPr>
            <w:r>
              <w:t>При отсутствии ответа на первую дозу повторная доза эпинефрина** может быть введена в/м не менее чем через 5 минут после предыдущей</w:t>
            </w:r>
          </w:p>
        </w:tc>
        <w:tc>
          <w:tcPr>
            <w:tcW w:w="1247" w:type="dxa"/>
          </w:tcPr>
          <w:p w:rsidR="00054AFF" w:rsidRDefault="00054AFF">
            <w:pPr>
              <w:pStyle w:val="ConsPlusNormal"/>
            </w:pPr>
            <w:r>
              <w:t>Да</w:t>
            </w:r>
          </w:p>
        </w:tc>
        <w:tc>
          <w:tcPr>
            <w:tcW w:w="1190" w:type="dxa"/>
          </w:tcPr>
          <w:p w:rsidR="00054AFF" w:rsidRDefault="00054AFF">
            <w:pPr>
              <w:pStyle w:val="ConsPlusNormal"/>
            </w:pPr>
            <w:r>
              <w:t>Нет</w:t>
            </w:r>
          </w:p>
        </w:tc>
      </w:tr>
      <w:tr w:rsidR="00054AFF">
        <w:tc>
          <w:tcPr>
            <w:tcW w:w="793" w:type="dxa"/>
          </w:tcPr>
          <w:p w:rsidR="00054AFF" w:rsidRDefault="00054AFF">
            <w:pPr>
              <w:pStyle w:val="ConsPlusNormal"/>
            </w:pPr>
            <w:r>
              <w:t>9</w:t>
            </w:r>
          </w:p>
        </w:tc>
        <w:tc>
          <w:tcPr>
            <w:tcW w:w="5839" w:type="dxa"/>
          </w:tcPr>
          <w:p w:rsidR="00054AFF" w:rsidRDefault="00054AFF">
            <w:pPr>
              <w:pStyle w:val="ConsPlusNormal"/>
            </w:pPr>
            <w:r>
              <w:t>Эпинефрин** в/в может вводиться при недостаточном ответе на 2 и более дозы эпинефрина** в/м, только при мониторировании сердечной деятельности</w:t>
            </w:r>
          </w:p>
        </w:tc>
        <w:tc>
          <w:tcPr>
            <w:tcW w:w="1247" w:type="dxa"/>
          </w:tcPr>
          <w:p w:rsidR="00054AFF" w:rsidRDefault="00054AFF">
            <w:pPr>
              <w:pStyle w:val="ConsPlusNormal"/>
            </w:pPr>
            <w:r>
              <w:t>Да</w:t>
            </w:r>
          </w:p>
        </w:tc>
        <w:tc>
          <w:tcPr>
            <w:tcW w:w="1190" w:type="dxa"/>
          </w:tcPr>
          <w:p w:rsidR="00054AFF" w:rsidRDefault="00054AFF">
            <w:pPr>
              <w:pStyle w:val="ConsPlusNormal"/>
            </w:pPr>
            <w:r>
              <w:t>Нет</w:t>
            </w:r>
          </w:p>
        </w:tc>
      </w:tr>
      <w:tr w:rsidR="00054AFF">
        <w:tc>
          <w:tcPr>
            <w:tcW w:w="793" w:type="dxa"/>
          </w:tcPr>
          <w:p w:rsidR="00054AFF" w:rsidRDefault="00054AFF">
            <w:pPr>
              <w:pStyle w:val="ConsPlusNormal"/>
            </w:pPr>
            <w:r>
              <w:t>10</w:t>
            </w:r>
          </w:p>
        </w:tc>
        <w:tc>
          <w:tcPr>
            <w:tcW w:w="5839" w:type="dxa"/>
          </w:tcPr>
          <w:p w:rsidR="00054AFF" w:rsidRDefault="00054AFF">
            <w:pPr>
              <w:pStyle w:val="ConsPlusNormal"/>
            </w:pPr>
            <w:r>
              <w:t>Мониторирование пульса, АД, частота дыхательных движений</w:t>
            </w:r>
          </w:p>
        </w:tc>
        <w:tc>
          <w:tcPr>
            <w:tcW w:w="1247" w:type="dxa"/>
          </w:tcPr>
          <w:p w:rsidR="00054AFF" w:rsidRDefault="00054AFF">
            <w:pPr>
              <w:pStyle w:val="ConsPlusNormal"/>
            </w:pPr>
            <w:r>
              <w:t>Да</w:t>
            </w:r>
          </w:p>
        </w:tc>
        <w:tc>
          <w:tcPr>
            <w:tcW w:w="1190" w:type="dxa"/>
          </w:tcPr>
          <w:p w:rsidR="00054AFF" w:rsidRDefault="00054AFF">
            <w:pPr>
              <w:pStyle w:val="ConsPlusNormal"/>
            </w:pPr>
            <w:r>
              <w:t>Нет</w:t>
            </w:r>
          </w:p>
        </w:tc>
      </w:tr>
    </w:tbl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  <w:outlineLvl w:val="1"/>
      </w:pPr>
      <w:r>
        <w:lastRenderedPageBreak/>
        <w:t>Список литературы</w:t>
      </w:r>
    </w:p>
    <w:p w:rsidR="00054AFF" w:rsidRDefault="00054AFF">
      <w:pPr>
        <w:pStyle w:val="ConsPlusNormal"/>
        <w:jc w:val="both"/>
      </w:pPr>
    </w:p>
    <w:p w:rsidR="00054AFF" w:rsidRPr="00054AFF" w:rsidRDefault="00054AFF">
      <w:pPr>
        <w:pStyle w:val="ConsPlusNormal"/>
        <w:ind w:firstLine="540"/>
        <w:jc w:val="both"/>
        <w:rPr>
          <w:lang w:val="en-US"/>
        </w:rPr>
      </w:pPr>
      <w:bookmarkStart w:id="1" w:name="P300"/>
      <w:bookmarkEnd w:id="1"/>
      <w:r w:rsidRPr="00054AFF">
        <w:rPr>
          <w:lang w:val="en-US"/>
        </w:rPr>
        <w:t xml:space="preserve">1. Sampson H, </w:t>
      </w:r>
      <w:r w:rsidRPr="007829BB">
        <w:rPr>
          <w:position w:val="-6"/>
        </w:rPr>
        <w:pict>
          <v:shape id="_x0000_i1025" style="width:87.75pt;height:18pt" coordsize="" o:spt="100" adj="0,,0" path="" filled="f" stroked="f">
            <v:stroke joinstyle="miter"/>
            <v:imagedata r:id="rId14" o:title="base_1_376477_32768"/>
            <v:formulas/>
            <v:path o:connecttype="segments"/>
          </v:shape>
        </w:pict>
      </w:r>
      <w:r w:rsidRPr="00054AFF">
        <w:rPr>
          <w:lang w:val="en-US"/>
        </w:rPr>
        <w:t xml:space="preserve"> A, Campbell R et al. Second symposium on the definition and management of anaphylaxis: Summary report-Second National Institute of Allergy and Infectious Disease/Food Allergy and Anaphylaxis Network symposium. Journal of Allergy and Clinical Immunology. 2006; 117(2): 391 - 397. doi:10.1016/j.jaci.2005.12.1303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2" w:name="P301"/>
      <w:bookmarkEnd w:id="2"/>
      <w:r w:rsidRPr="00054AFF">
        <w:rPr>
          <w:lang w:val="en-US"/>
        </w:rPr>
        <w:t>2. Soar J, Pumphrey R, Cant A et al. Emergency treatment of anaphylactic reactions-Guidelines for healthcare providers. Resuscitation. 2008; 77(2): 157 - 169. doi:10.1016/j.resuscitation.2008.02.001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3" w:name="P302"/>
      <w:bookmarkEnd w:id="3"/>
      <w:r w:rsidRPr="00054AFF">
        <w:rPr>
          <w:lang w:val="en-US"/>
        </w:rPr>
        <w:t>3. Shaker M, Wallace D, Golden D et al. Anaphylaxis - a 2020 practice parameter update, systematic review, and Grading of Recommendations, Assessment, Development and Evaluation (GRADE) analysis. Journal of Allergy and Clinical Immunology. 2020. doi:10.1016/j.jaci.2020.01.017</w:t>
      </w:r>
    </w:p>
    <w:p w:rsidR="00054AFF" w:rsidRDefault="00054AFF">
      <w:pPr>
        <w:pStyle w:val="ConsPlusNormal"/>
        <w:spacing w:before="220"/>
        <w:ind w:firstLine="540"/>
        <w:jc w:val="both"/>
      </w:pPr>
      <w:bookmarkStart w:id="4" w:name="P303"/>
      <w:bookmarkEnd w:id="4"/>
      <w:r w:rsidRPr="00054AFF">
        <w:rPr>
          <w:lang w:val="en-US"/>
        </w:rPr>
        <w:t xml:space="preserve">4. </w:t>
      </w:r>
      <w:r>
        <w:t>Аллергология</w:t>
      </w:r>
      <w:r w:rsidRPr="00054AFF">
        <w:rPr>
          <w:lang w:val="en-US"/>
        </w:rPr>
        <w:t xml:space="preserve">. </w:t>
      </w:r>
      <w:r>
        <w:t>Федеральные клинические рекомендации. Главные редакторы акад. РАН Р.М. Хаитов, проф. Н.И. Ильина. - М., 2014. - С. 35 - 47.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5" w:name="P304"/>
      <w:bookmarkEnd w:id="5"/>
      <w:r w:rsidRPr="00054AFF">
        <w:rPr>
          <w:lang w:val="en-US"/>
        </w:rPr>
        <w:t>5. Wood R, Camargo C, Lieberman P et al. Anaphylaxis in America: The prevalence and characteristics of anaphylaxis in the United States. Journal of Allergy and Clinical Immunology. 2014; 133(2): 461 - 467. doi:10.1016/j.jaci.2013.08.016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6" w:name="P305"/>
      <w:bookmarkEnd w:id="6"/>
      <w:r w:rsidRPr="00054AFF">
        <w:rPr>
          <w:lang w:val="en-US"/>
        </w:rPr>
        <w:t>6. Turner P, Gowland M, Sharma V et al. Increase in anaphylaxis-related hospitalizations but no increase in fatalities: An analysis of United Kingdom national anaphylaxis data, 1992 - 2012. Journal of Allergy and Clinical Immunology. 2015; 135(4): 956 - 963. el. doi:10.1016/j.jaci.2014.10.021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7" w:name="P306"/>
      <w:bookmarkEnd w:id="7"/>
      <w:r w:rsidRPr="00054AFF">
        <w:rPr>
          <w:lang w:val="en-US"/>
        </w:rPr>
        <w:t>7. Ye Y, Kim M, Kang H et al. Predictors of the Severity and Serious Outcomes of Anaphylaxis in Korean Adults: A Multicenter Retrospective Case Study. Allergy Asthma Immunol Res. 2015; 7(1): 22. doi:10.4168/aair.2015.7.1.22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8" w:name="P307"/>
      <w:bookmarkEnd w:id="8"/>
      <w:r w:rsidRPr="00054AFF">
        <w:rPr>
          <w:lang w:val="en-US"/>
        </w:rPr>
        <w:t>8. Vale S, Smith J, Said M, Dunne G, Mullins R, Loh R. ASCIA guidelines for prevention of anaphylaxis in schools, pre-schools and childcare: 2012 update. J Paediatr Child Health. 2013; 49(5): 342 - 345. doi:10.1111/jpc.12166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9" w:name="P308"/>
      <w:bookmarkEnd w:id="9"/>
      <w:r w:rsidRPr="00054AFF">
        <w:rPr>
          <w:lang w:val="en-US"/>
        </w:rPr>
        <w:t>9. Sole D, Ivancevich J, Borges M et al. Anaphylaxis in Latin America: a report of the online Latin American survey on anaphylaxis (OLASA). Clinics. 2011; 66(6): 943 - 947. doi:10.1590/s1807-59322011000600004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10" w:name="P309"/>
      <w:bookmarkEnd w:id="10"/>
      <w:r w:rsidRPr="00054AFF">
        <w:rPr>
          <w:lang w:val="en-US"/>
        </w:rPr>
        <w:t>10. Ryan K, Martin Caravati E. Life-threatening anaphylaxis following envenomation by two different species of Crotalidae. J Wilderness Med. 1994; 5(3): 263 - 268. doi:10.1580/0953-9859-5.3.263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11" w:name="P310"/>
      <w:bookmarkEnd w:id="11"/>
      <w:r w:rsidRPr="00054AFF">
        <w:rPr>
          <w:lang w:val="en-US"/>
        </w:rPr>
        <w:t>11. Fischer D, Vander Leek T, Ellis A, Kim H. Anaphylaxis. Allergy, Asthma &amp; Clinical Immunology. 2018; 14(S2). doi:10.1186/s13223-018-0283-4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12" w:name="P311"/>
      <w:bookmarkEnd w:id="12"/>
      <w:r w:rsidRPr="00054AFF">
        <w:rPr>
          <w:lang w:val="en-US"/>
        </w:rPr>
        <w:t>12. Panesar S, Javad S, de Silva D et al. The epidemiology of anaphylaxis in Europe: a systematic review. Allergy. 2013; 68(11): 1353 - 1361. doi:10.1111/all.12272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13" w:name="P312"/>
      <w:bookmarkEnd w:id="13"/>
      <w:r w:rsidRPr="00054AFF">
        <w:rPr>
          <w:lang w:val="en-US"/>
        </w:rPr>
        <w:t>13. Simons F, Ebisawa M, Sanchez-Borges M et al. 2015 update of the evidence base: World Allergy Organization anaphylaxis guidelines. World Allergy Organization Journal. 2015; 8: 32. doi:10.1186/s40413-015-0080-1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14" w:name="P313"/>
      <w:bookmarkEnd w:id="14"/>
      <w:r w:rsidRPr="00054AFF">
        <w:rPr>
          <w:lang w:val="en-US"/>
        </w:rPr>
        <w:t xml:space="preserve">14. </w:t>
      </w:r>
      <w:r>
        <w:t>Есакова</w:t>
      </w:r>
      <w:r w:rsidRPr="00054AFF">
        <w:rPr>
          <w:lang w:val="en-US"/>
        </w:rPr>
        <w:t xml:space="preserve"> </w:t>
      </w:r>
      <w:r>
        <w:t>Н</w:t>
      </w:r>
      <w:r w:rsidRPr="00054AFF">
        <w:rPr>
          <w:lang w:val="en-US"/>
        </w:rPr>
        <w:t>.</w:t>
      </w:r>
      <w:r>
        <w:t>В</w:t>
      </w:r>
      <w:r w:rsidRPr="00054AFF">
        <w:rPr>
          <w:lang w:val="en-US"/>
        </w:rPr>
        <w:t xml:space="preserve">., </w:t>
      </w:r>
      <w:r>
        <w:t>Пампура</w:t>
      </w:r>
      <w:r w:rsidRPr="00054AFF">
        <w:rPr>
          <w:lang w:val="en-US"/>
        </w:rPr>
        <w:t xml:space="preserve"> </w:t>
      </w:r>
      <w:r>
        <w:t>А</w:t>
      </w:r>
      <w:r w:rsidRPr="00054AFF">
        <w:rPr>
          <w:lang w:val="en-US"/>
        </w:rPr>
        <w:t>.</w:t>
      </w:r>
      <w:r>
        <w:t>Н</w:t>
      </w:r>
      <w:r w:rsidRPr="00054AFF">
        <w:rPr>
          <w:lang w:val="en-US"/>
        </w:rPr>
        <w:t xml:space="preserve">. </w:t>
      </w:r>
      <w:r>
        <w:t>Пищевая</w:t>
      </w:r>
      <w:r w:rsidRPr="00054AFF">
        <w:rPr>
          <w:lang w:val="en-US"/>
        </w:rPr>
        <w:t xml:space="preserve"> </w:t>
      </w:r>
      <w:r>
        <w:t>анафилаксия</w:t>
      </w:r>
      <w:r w:rsidRPr="00054AFF">
        <w:rPr>
          <w:lang w:val="en-US"/>
        </w:rPr>
        <w:t xml:space="preserve"> </w:t>
      </w:r>
      <w:r>
        <w:t>у</w:t>
      </w:r>
      <w:r w:rsidRPr="00054AFF">
        <w:rPr>
          <w:lang w:val="en-US"/>
        </w:rPr>
        <w:t xml:space="preserve"> </w:t>
      </w:r>
      <w:r>
        <w:t>детей</w:t>
      </w:r>
      <w:r w:rsidRPr="00054AFF">
        <w:rPr>
          <w:lang w:val="en-US"/>
        </w:rPr>
        <w:t xml:space="preserve">: </w:t>
      </w:r>
      <w:r>
        <w:t>ретроспективный</w:t>
      </w:r>
      <w:r w:rsidRPr="00054AFF">
        <w:rPr>
          <w:lang w:val="en-US"/>
        </w:rPr>
        <w:t xml:space="preserve"> </w:t>
      </w:r>
      <w:r>
        <w:t>анализ</w:t>
      </w:r>
      <w:r w:rsidRPr="00054AFF">
        <w:rPr>
          <w:lang w:val="en-US"/>
        </w:rPr>
        <w:t xml:space="preserve"> 53 </w:t>
      </w:r>
      <w:r>
        <w:t>случаев</w:t>
      </w:r>
      <w:r w:rsidRPr="00054AFF">
        <w:rPr>
          <w:lang w:val="en-US"/>
        </w:rPr>
        <w:t xml:space="preserve">. </w:t>
      </w:r>
      <w:r>
        <w:t>Российский</w:t>
      </w:r>
      <w:r w:rsidRPr="00054AFF">
        <w:rPr>
          <w:lang w:val="en-US"/>
        </w:rPr>
        <w:t xml:space="preserve"> </w:t>
      </w:r>
      <w:r>
        <w:t>Аллергологический</w:t>
      </w:r>
      <w:r w:rsidRPr="00054AFF">
        <w:rPr>
          <w:lang w:val="en-US"/>
        </w:rPr>
        <w:t xml:space="preserve"> </w:t>
      </w:r>
      <w:r>
        <w:t>Журнал</w:t>
      </w:r>
      <w:r w:rsidRPr="00054AFF">
        <w:rPr>
          <w:lang w:val="en-US"/>
        </w:rPr>
        <w:t>, 2013; 5: 22 - 27.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15" w:name="P314"/>
      <w:bookmarkEnd w:id="15"/>
      <w:r w:rsidRPr="00054AFF">
        <w:rPr>
          <w:lang w:val="en-US"/>
        </w:rPr>
        <w:t xml:space="preserve">15. Bock S, </w:t>
      </w:r>
      <w:r w:rsidRPr="007829BB">
        <w:rPr>
          <w:position w:val="-6"/>
        </w:rPr>
        <w:pict>
          <v:shape id="_x0000_i1026" style="width:87.75pt;height:18pt" coordsize="" o:spt="100" adj="0,,0" path="" filled="f" stroked="f">
            <v:stroke joinstyle="miter"/>
            <v:imagedata r:id="rId14" o:title="base_1_376477_32769"/>
            <v:formulas/>
            <v:path o:connecttype="segments"/>
          </v:shape>
        </w:pict>
      </w:r>
      <w:r w:rsidRPr="00054AFF">
        <w:rPr>
          <w:lang w:val="en-US"/>
        </w:rPr>
        <w:t xml:space="preserve"> A, Sampson H. Fatalities due to anaphylactic reactions to foods. Journal of Allergy and Clinical Immunology. 2001; 107(1): 191 - 193. doi:10.1067/mai.2001.112031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16" w:name="P315"/>
      <w:bookmarkEnd w:id="16"/>
      <w:r w:rsidRPr="00054AFF">
        <w:rPr>
          <w:lang w:val="en-US"/>
        </w:rPr>
        <w:lastRenderedPageBreak/>
        <w:t xml:space="preserve">16. Sampson H, </w:t>
      </w:r>
      <w:r w:rsidRPr="007829BB">
        <w:rPr>
          <w:position w:val="-6"/>
        </w:rPr>
        <w:pict>
          <v:shape id="_x0000_i1027" style="width:87.75pt;height:18pt" coordsize="" o:spt="100" adj="0,,0" path="" filled="f" stroked="f">
            <v:stroke joinstyle="miter"/>
            <v:imagedata r:id="rId14" o:title="base_1_376477_32770"/>
            <v:formulas/>
            <v:path o:connecttype="segments"/>
          </v:shape>
        </w:pict>
      </w:r>
      <w:r w:rsidRPr="00054AFF">
        <w:rPr>
          <w:lang w:val="en-US"/>
        </w:rPr>
        <w:t xml:space="preserve"> A, Bock S et al. Symposium on the Definition and Management of Anaphylaxis: Summary report. Journal of Allergy and Clinical Immunology. 2005; 115(3): 584 - 591. doi:10.1016/j.jaci.2005.01.009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17" w:name="P316"/>
      <w:bookmarkEnd w:id="17"/>
      <w:r w:rsidRPr="00054AFF">
        <w:rPr>
          <w:lang w:val="en-US"/>
        </w:rPr>
        <w:t>17. Simons F. Anaphylaxis. Journal of Allergy and Clinical Immunology. 2010; 125(2): S161 - S181. doi:10.1016/j.jaci.2009.12.981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18" w:name="P317"/>
      <w:bookmarkEnd w:id="18"/>
      <w:r w:rsidRPr="00054AFF">
        <w:rPr>
          <w:lang w:val="en-US"/>
        </w:rPr>
        <w:t>18. Clinical aspects of Immunology, 3-d, Gell PGH, Coombs RRA, Lachmann R. Oxford: Blackwell Scintific Publications, 1975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19" w:name="P318"/>
      <w:bookmarkEnd w:id="19"/>
      <w:r>
        <w:t>19. Сафина Л.Ф., Фассахов Р.С, Решетникова И.Д. с соавт. Анафилактический шок: ретроспективный анализ госпитализаций по данным аллергологического отделения города Казани. Практическая</w:t>
      </w:r>
      <w:r w:rsidRPr="00054AFF">
        <w:rPr>
          <w:lang w:val="en-US"/>
        </w:rPr>
        <w:t xml:space="preserve"> </w:t>
      </w:r>
      <w:r>
        <w:t>Медицина</w:t>
      </w:r>
      <w:r w:rsidRPr="00054AFF">
        <w:rPr>
          <w:lang w:val="en-US"/>
        </w:rPr>
        <w:t>. 2014; 7(83): 91 - 95.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20" w:name="P319"/>
      <w:bookmarkEnd w:id="20"/>
      <w:r w:rsidRPr="00054AFF">
        <w:rPr>
          <w:lang w:val="en-US"/>
        </w:rPr>
        <w:t>20. Ma L, Danoff T, Borish L. Case fatality and population mortality associated with anaphylaxis in the United States. Journal of Allergy and Clinical Immunology. 2014; 133(4): 1075 - 1083. doi:10.1016/j.jaci.2013.10.029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21" w:name="P320"/>
      <w:bookmarkEnd w:id="21"/>
      <w:r w:rsidRPr="00054AFF">
        <w:rPr>
          <w:lang w:val="en-US"/>
        </w:rPr>
        <w:t>21. Mehr S, Liew W, Tey D, Tang M. Clinical predictors for biphasic reactions in children presenting with anaphylaxis. Clinical &amp; Experimental Allergy. 2009; 39(9): 1390 - 1396. doi:10.1111/j.1365-2222.2009.03276.x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22" w:name="P321"/>
      <w:bookmarkEnd w:id="22"/>
      <w:r w:rsidRPr="00054AFF">
        <w:rPr>
          <w:lang w:val="en-US"/>
        </w:rPr>
        <w:t xml:space="preserve">22. Simons F, Ardusso L, </w:t>
      </w:r>
      <w:r w:rsidRPr="007829BB">
        <w:rPr>
          <w:position w:val="-4"/>
        </w:rPr>
        <w:pict>
          <v:shape id="_x0000_i1028" style="width:27.75pt;height:15pt" coordsize="" o:spt="100" adj="0,,0" path="" filled="f" stroked="f">
            <v:stroke joinstyle="miter"/>
            <v:imagedata r:id="rId15" o:title="base_1_376477_32771"/>
            <v:formulas/>
            <v:path o:connecttype="segments"/>
          </v:shape>
        </w:pict>
      </w:r>
      <w:r w:rsidRPr="00054AFF">
        <w:rPr>
          <w:lang w:val="en-US"/>
        </w:rPr>
        <w:t xml:space="preserve"> M et al. World Allergy Organization Guidelines for the Assessment and Management of Anaphylaxis. World Allergy Organization Journal. 2011; 4(2): 13 - 37. doi:10.1097/wox.0b013e318211496c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23" w:name="P322"/>
      <w:bookmarkEnd w:id="23"/>
      <w:r w:rsidRPr="00054AFF">
        <w:rPr>
          <w:lang w:val="en-US"/>
        </w:rPr>
        <w:t>23. Lieberman P, Nicklas R, Oppenheimer J et al. The diagnosis and management of anaphylaxis practice parameter: 2010 Update. Journal of Allergy and Clinical Immunology. 2010; 126(3): 477 - 480. e42. doi:10.1016/j.jaci.2010.06.022</w:t>
      </w:r>
    </w:p>
    <w:p w:rsidR="00054AFF" w:rsidRDefault="00054AFF">
      <w:pPr>
        <w:pStyle w:val="ConsPlusNormal"/>
        <w:spacing w:before="220"/>
        <w:ind w:firstLine="540"/>
        <w:jc w:val="both"/>
      </w:pPr>
      <w:bookmarkStart w:id="24" w:name="P323"/>
      <w:bookmarkEnd w:id="24"/>
      <w:r>
        <w:t>24. Лопатин А.С. Лекарственный анафилактический шок. - М.: Медицина, 1983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25" w:name="P324"/>
      <w:bookmarkEnd w:id="25"/>
      <w:r w:rsidRPr="00054AFF">
        <w:rPr>
          <w:lang w:val="en-US"/>
        </w:rPr>
        <w:t>25. de Silva I, Mehr S, Tey D, Tang M. Paediatric anaphylaxis: a Syear retrospective review. Allergy. 2008; 63(8): 1071 - 1076. doi:10.1111/j.1398-9995.2008.01719.x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26" w:name="P325"/>
      <w:bookmarkEnd w:id="26"/>
      <w:r w:rsidRPr="00054AFF">
        <w:rPr>
          <w:lang w:val="en-US"/>
        </w:rPr>
        <w:t>26. Pumphrey RSH. Lessons for management of anaphylaxis from a study of fatal reactions. Clin Exp Allergy 2000; 30: 1144 - 1150.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27" w:name="P326"/>
      <w:bookmarkEnd w:id="27"/>
      <w:r w:rsidRPr="00054AFF">
        <w:rPr>
          <w:lang w:val="en-US"/>
        </w:rPr>
        <w:t>27. Cox L, Larenas-Linnemann D, Lockey R, Passalacqua G. Speaking the same language: The World Allergy Organization Subcutaneous Immunotherapy Systemic Reaction Grading System. Journal of Allergy and Clinical Immunology. 2010; 125(3): 569 - 574. e7. doi:10.1016/j.jaci.2009.10.060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28" w:name="P327"/>
      <w:bookmarkEnd w:id="28"/>
      <w:r w:rsidRPr="00054AFF">
        <w:rPr>
          <w:lang w:val="en-US"/>
        </w:rPr>
        <w:t>28. Simons F. Anaphylaxis in infants: Can recognition and management be improved?. Journal of Allergy and Clinical Immunology. 2007; 120(3): 537 - 540. doi:10.1016/j.jaci.2007.06.025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29" w:name="P328"/>
      <w:bookmarkEnd w:id="29"/>
      <w:r w:rsidRPr="00054AFF">
        <w:rPr>
          <w:lang w:val="en-US"/>
        </w:rPr>
        <w:t xml:space="preserve">29. Worm M, Edenharter G, </w:t>
      </w:r>
      <w:r w:rsidRPr="007829BB">
        <w:rPr>
          <w:position w:val="-4"/>
        </w:rPr>
        <w:pict>
          <v:shape id="_x0000_i1029" style="width:36pt;height:15pt" coordsize="" o:spt="100" adj="0,,0" path="" filled="f" stroked="f">
            <v:stroke joinstyle="miter"/>
            <v:imagedata r:id="rId16" o:title="base_1_376477_32772"/>
            <v:formulas/>
            <v:path o:connecttype="segments"/>
          </v:shape>
        </w:pict>
      </w:r>
      <w:r w:rsidRPr="00054AFF">
        <w:rPr>
          <w:lang w:val="en-US"/>
        </w:rPr>
        <w:t xml:space="preserve"> F et al. Symptom profile and risk factors of anaphylaxis in Central Europe. Allergy. 2012; 67(5): 691 - 698. doi:10.1111/j.1398-9995.2012.02795.x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30" w:name="P329"/>
      <w:bookmarkEnd w:id="30"/>
      <w:r w:rsidRPr="00054AFF">
        <w:rPr>
          <w:lang w:val="en-US"/>
        </w:rPr>
        <w:t>30. Muraro A, Roberts G, Worm M et al. Anaphylaxis: guidelines from the European Academy of Allergy and Clinical Immunology. Allergy. 2014; 69(8): 1026 - 1045. doi:10.1111/all.12437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31" w:name="P330"/>
      <w:bookmarkEnd w:id="31"/>
      <w:r w:rsidRPr="00054AFF">
        <w:rPr>
          <w:lang w:val="en-US"/>
        </w:rPr>
        <w:t>31. Valent P, Akin C, Arock M et al. Definitions, Criteria and Global Classification of Mast Cell Disorders with Special Reference to Mast Cell Activation Syndromes: A Consensus Proposal. Int Arch Allergy Immunol. 2012; 157(3): 215 - 225. doi:10.1159/000328760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32" w:name="P331"/>
      <w:bookmarkEnd w:id="32"/>
      <w:r w:rsidRPr="00054AFF">
        <w:rPr>
          <w:lang w:val="en-US"/>
        </w:rPr>
        <w:t xml:space="preserve">32. Laroche D, Gomis P, Gallimidi E, Malinovsky J, Mertes P. Diagnostic Value of Histamine and </w:t>
      </w:r>
      <w:r w:rsidRPr="00054AFF">
        <w:rPr>
          <w:lang w:val="en-US"/>
        </w:rPr>
        <w:lastRenderedPageBreak/>
        <w:t>Tryptase Concentrations in Severe Anaphylaxis with Shock or Cardiac Arrest during Anesthesia. Anesthesiology. 2014; 121(2): 272 - 279. doi:10.1097/aln.0000000000000276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33" w:name="P332"/>
      <w:bookmarkEnd w:id="33"/>
      <w:r w:rsidRPr="00054AFF">
        <w:rPr>
          <w:lang w:val="en-US"/>
        </w:rPr>
        <w:t>33. Soar J, Pumphrey R, Cant A et al. Emergency treatment of anaphylactic reactions - Guidelines for healthcare providers. Resuscitation. 2008; 77(2): 157 - 169. doi:10.1016/j.resuscitation.2008.02.001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34" w:name="P333"/>
      <w:bookmarkEnd w:id="34"/>
      <w:r w:rsidRPr="00054AFF">
        <w:rPr>
          <w:lang w:val="en-US"/>
        </w:rPr>
        <w:t>34. Brown S, Mullins R, Gold M. 2. Anaphylaxis: diagnosis and management. Medical Journal of Australia. 2006; 185(5): 283 - 289. doi:10.5694/j.1326-5377.2006.tb00S63.x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35" w:name="P334"/>
      <w:bookmarkEnd w:id="35"/>
      <w:r w:rsidRPr="00054AFF">
        <w:rPr>
          <w:lang w:val="en-US"/>
        </w:rPr>
        <w:t>35. Simons F, Roberts J, Gu X, Simons K. Epinephrine absorption in children with a history of anaphylaxis. Journal of Allergy and Clinical Immunology. 1998; 101(1): 33 - 37. doi:10.1016/s0091-6749(98)70190-3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36" w:name="P335"/>
      <w:bookmarkEnd w:id="36"/>
      <w:r w:rsidRPr="00054AFF">
        <w:rPr>
          <w:lang w:val="en-US"/>
        </w:rPr>
        <w:t>36. Simons F, Gu X, Simons K. Epinephrine absorption in adults: Intramuscular versus subcutaneous injection. Journal of Allergy and Clinical Immunology. 2001; 108(5): 871 - 873. doi:10.1067/mai.2001.119409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37" w:name="P336"/>
      <w:bookmarkEnd w:id="37"/>
      <w:r w:rsidRPr="00054AFF">
        <w:rPr>
          <w:lang w:val="en-US"/>
        </w:rPr>
        <w:t>37. Sampson H, Mendelson L, Rosen J. Fatal and Near-Fatal Anaphylactic Reactions to Food in Children and Adolescents. New England Journal of Medicine. 1992; 327(6): 380 - 384. doi:10.1056/nejm199208063270603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38" w:name="P337"/>
      <w:bookmarkEnd w:id="38"/>
      <w:r w:rsidRPr="00054AFF">
        <w:rPr>
          <w:lang w:val="en-US"/>
        </w:rPr>
        <w:t xml:space="preserve">38. </w:t>
      </w:r>
      <w:r w:rsidRPr="007829BB">
        <w:rPr>
          <w:position w:val="-4"/>
        </w:rPr>
        <w:pict>
          <v:shape id="_x0000_i1030" style="width:44.25pt;height:15pt" coordsize="" o:spt="100" adj="0,,0" path="" filled="f" stroked="f">
            <v:stroke joinstyle="miter"/>
            <v:imagedata r:id="rId17" o:title="base_1_376477_32773"/>
            <v:formulas/>
            <v:path o:connecttype="segments"/>
          </v:shape>
        </w:pict>
      </w:r>
      <w:r w:rsidRPr="00054AFF">
        <w:rPr>
          <w:lang w:val="en-US"/>
        </w:rPr>
        <w:t xml:space="preserve"> E, Buxrud T, Harboe S. Severe anaphylactic reactions outside hospital: etiology, symptoms and treatment. Acta Anaesthesiol Scand. 1988; 32(4): 339 - 342. doi:10.1111/j.1399-6576.1988.tb02740.x</w:t>
      </w:r>
    </w:p>
    <w:p w:rsidR="00054AFF" w:rsidRDefault="00054AFF">
      <w:pPr>
        <w:pStyle w:val="ConsPlusNormal"/>
        <w:spacing w:before="220"/>
        <w:ind w:firstLine="540"/>
        <w:jc w:val="both"/>
      </w:pPr>
      <w:bookmarkStart w:id="39" w:name="P338"/>
      <w:bookmarkEnd w:id="39"/>
      <w:r w:rsidRPr="00054AFF">
        <w:rPr>
          <w:lang w:val="en-US"/>
        </w:rPr>
        <w:t xml:space="preserve">39. </w:t>
      </w:r>
      <w:r>
        <w:t>Незабудкин</w:t>
      </w:r>
      <w:r w:rsidRPr="00054AFF">
        <w:rPr>
          <w:lang w:val="en-US"/>
        </w:rPr>
        <w:t xml:space="preserve"> </w:t>
      </w:r>
      <w:r>
        <w:t>С</w:t>
      </w:r>
      <w:r w:rsidRPr="00054AFF">
        <w:rPr>
          <w:lang w:val="en-US"/>
        </w:rPr>
        <w:t>.</w:t>
      </w:r>
      <w:r>
        <w:t>Н</w:t>
      </w:r>
      <w:r w:rsidRPr="00054AFF">
        <w:rPr>
          <w:lang w:val="en-US"/>
        </w:rPr>
        <w:t xml:space="preserve">., </w:t>
      </w:r>
      <w:r>
        <w:t>Галустян</w:t>
      </w:r>
      <w:r w:rsidRPr="00054AFF">
        <w:rPr>
          <w:lang w:val="en-US"/>
        </w:rPr>
        <w:t xml:space="preserve"> </w:t>
      </w:r>
      <w:r>
        <w:t>А</w:t>
      </w:r>
      <w:r w:rsidRPr="00054AFF">
        <w:rPr>
          <w:lang w:val="en-US"/>
        </w:rPr>
        <w:t>.</w:t>
      </w:r>
      <w:r>
        <w:t>Н</w:t>
      </w:r>
      <w:r w:rsidRPr="00054AFF">
        <w:rPr>
          <w:lang w:val="en-US"/>
        </w:rPr>
        <w:t xml:space="preserve">., </w:t>
      </w:r>
      <w:r>
        <w:t>Незабудкина</w:t>
      </w:r>
      <w:r w:rsidRPr="00054AFF">
        <w:rPr>
          <w:lang w:val="en-US"/>
        </w:rPr>
        <w:t xml:space="preserve"> </w:t>
      </w:r>
      <w:r>
        <w:t>А</w:t>
      </w:r>
      <w:r w:rsidRPr="00054AFF">
        <w:rPr>
          <w:lang w:val="en-US"/>
        </w:rPr>
        <w:t>.</w:t>
      </w:r>
      <w:r>
        <w:t>С</w:t>
      </w:r>
      <w:r w:rsidRPr="00054AFF">
        <w:rPr>
          <w:lang w:val="en-US"/>
        </w:rPr>
        <w:t xml:space="preserve">, </w:t>
      </w:r>
      <w:r>
        <w:t>Сардарян</w:t>
      </w:r>
      <w:r w:rsidRPr="00054AFF">
        <w:rPr>
          <w:lang w:val="en-US"/>
        </w:rPr>
        <w:t xml:space="preserve"> </w:t>
      </w:r>
      <w:r>
        <w:t>И</w:t>
      </w:r>
      <w:r w:rsidRPr="00054AFF">
        <w:rPr>
          <w:lang w:val="en-US"/>
        </w:rPr>
        <w:t>.</w:t>
      </w:r>
      <w:r>
        <w:t>С</w:t>
      </w:r>
      <w:r w:rsidRPr="00054AFF">
        <w:rPr>
          <w:lang w:val="en-US"/>
        </w:rPr>
        <w:t xml:space="preserve">, </w:t>
      </w:r>
      <w:r>
        <w:t>Погорельчук</w:t>
      </w:r>
      <w:r w:rsidRPr="00054AFF">
        <w:rPr>
          <w:lang w:val="en-US"/>
        </w:rPr>
        <w:t xml:space="preserve"> </w:t>
      </w:r>
      <w:r>
        <w:t>В</w:t>
      </w:r>
      <w:r w:rsidRPr="00054AFF">
        <w:rPr>
          <w:lang w:val="en-US"/>
        </w:rPr>
        <w:t>.</w:t>
      </w:r>
      <w:r>
        <w:t>В</w:t>
      </w:r>
      <w:r w:rsidRPr="00054AFF">
        <w:rPr>
          <w:lang w:val="en-US"/>
        </w:rPr>
        <w:t xml:space="preserve">., </w:t>
      </w:r>
      <w:r>
        <w:t>Рукуйжа</w:t>
      </w:r>
      <w:r w:rsidRPr="00054AFF">
        <w:rPr>
          <w:lang w:val="en-US"/>
        </w:rPr>
        <w:t xml:space="preserve"> </w:t>
      </w:r>
      <w:r>
        <w:t>М</w:t>
      </w:r>
      <w:r w:rsidRPr="00054AFF">
        <w:rPr>
          <w:lang w:val="en-US"/>
        </w:rPr>
        <w:t>.</w:t>
      </w:r>
      <w:r>
        <w:t>С</w:t>
      </w:r>
      <w:r w:rsidRPr="00054AFF">
        <w:rPr>
          <w:lang w:val="en-US"/>
        </w:rPr>
        <w:t xml:space="preserve">. </w:t>
      </w:r>
      <w:r>
        <w:t>Анафилактический</w:t>
      </w:r>
      <w:r w:rsidRPr="00054AFF">
        <w:rPr>
          <w:lang w:val="en-US"/>
        </w:rPr>
        <w:t xml:space="preserve"> </w:t>
      </w:r>
      <w:r>
        <w:t>шок</w:t>
      </w:r>
      <w:r w:rsidRPr="00054AFF">
        <w:rPr>
          <w:lang w:val="en-US"/>
        </w:rPr>
        <w:t xml:space="preserve">. </w:t>
      </w:r>
      <w:r>
        <w:t>Современный взгляд. Медицина: теория и практика. 2018, Том 3, N 4, с. 143 - 150.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r>
        <w:t xml:space="preserve">40. Sheikh A. et al. </w:t>
      </w:r>
      <w:r w:rsidRPr="00054AFF">
        <w:rPr>
          <w:lang w:val="en-US"/>
        </w:rPr>
        <w:t>Adrenaline for the treatment of anaphylaxis: Cochrane systematic review//Allergy. - 2009. - T. 64. - N. 2. - C. 204 - 212.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r w:rsidRPr="00054AFF">
        <w:rPr>
          <w:lang w:val="en-US"/>
        </w:rPr>
        <w:t>41. Campbell R. L. et al. Epinephrine in anaphylaxis: higher risk of cardiovascular complications and overdose after administration of intravenous bolus epinephrine compared with intramuscular epinephrine//The Journal of Allergy and Clinical Immunology: In Practice. - 2015. - T. 3. - N. 1.- C. 76 - 80.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40" w:name="P341"/>
      <w:bookmarkEnd w:id="40"/>
      <w:r w:rsidRPr="00054AFF">
        <w:rPr>
          <w:lang w:val="en-US"/>
        </w:rPr>
        <w:t>42. McLean-Tooke A, Bethune C, Fay A, Spickett G. Adrenaline in the treatment of anaphylaxis: what is the evidence? BMJ 2003; 327(7427): p. 1332 - 1335. Doi:10/1136/bmj.327.7427.1332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41" w:name="P342"/>
      <w:bookmarkEnd w:id="41"/>
      <w:r w:rsidRPr="00054AFF">
        <w:rPr>
          <w:lang w:val="en-US"/>
        </w:rPr>
        <w:t>43. Anaphylaxis: Emergency treatment guidelines, 2017 (https://allergy.org.au/)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42" w:name="P343"/>
      <w:bookmarkEnd w:id="42"/>
      <w:r w:rsidRPr="00054AFF">
        <w:rPr>
          <w:lang w:val="en-US"/>
        </w:rPr>
        <w:t xml:space="preserve">44. Harper N, Dixon T, </w:t>
      </w:r>
      <w:r w:rsidRPr="007829BB">
        <w:rPr>
          <w:position w:val="-6"/>
        </w:rPr>
        <w:pict>
          <v:shape id="_x0000_i1031" style="width:39.75pt;height:18pt" coordsize="" o:spt="100" adj="0,,0" path="" filled="f" stroked="f">
            <v:stroke joinstyle="miter"/>
            <v:imagedata r:id="rId18" o:title="base_1_376477_32774"/>
            <v:formulas/>
            <v:path o:connecttype="segments"/>
          </v:shape>
        </w:pict>
      </w:r>
      <w:r w:rsidRPr="00054AFF">
        <w:rPr>
          <w:lang w:val="en-US"/>
        </w:rPr>
        <w:t xml:space="preserve"> P et al. Suspected Anaphylactic Reactions Associated with Anaesthesia. Anaesthesia. 2009; 64(2): 199 - 211. doi:10.1111/j.1365-2044.2008.05733.x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43" w:name="P344"/>
      <w:bookmarkEnd w:id="43"/>
      <w:r w:rsidRPr="00054AFF">
        <w:rPr>
          <w:lang w:val="en-US"/>
        </w:rPr>
        <w:t>45. Pumphrey R, Gowland M. Further fatal allergic reactions to food in the United Kingdom, 1999 - 2006. Journal of Allergy and Clinical Immunology. 2007; 119(4): 1018 - 1019. doi:10.1016/j.jaci.2007.01.021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44" w:name="P345"/>
      <w:bookmarkEnd w:id="44"/>
      <w:r w:rsidRPr="00054AFF">
        <w:rPr>
          <w:lang w:val="en-US"/>
        </w:rPr>
        <w:t xml:space="preserve">46. </w:t>
      </w:r>
      <w:r>
        <w:t>Тактика</w:t>
      </w:r>
      <w:r w:rsidRPr="00054AFF">
        <w:rPr>
          <w:lang w:val="en-US"/>
        </w:rPr>
        <w:t xml:space="preserve"> </w:t>
      </w:r>
      <w:r>
        <w:t>диагностики</w:t>
      </w:r>
      <w:r w:rsidRPr="00054AFF">
        <w:rPr>
          <w:lang w:val="en-US"/>
        </w:rPr>
        <w:t xml:space="preserve"> </w:t>
      </w:r>
      <w:r>
        <w:t>и</w:t>
      </w:r>
      <w:r w:rsidRPr="00054AFF">
        <w:rPr>
          <w:lang w:val="en-US"/>
        </w:rPr>
        <w:t xml:space="preserve"> </w:t>
      </w:r>
      <w:r>
        <w:t>лечения</w:t>
      </w:r>
      <w:r w:rsidRPr="00054AFF">
        <w:rPr>
          <w:lang w:val="en-US"/>
        </w:rPr>
        <w:t xml:space="preserve"> </w:t>
      </w:r>
      <w:r>
        <w:t>аллергических</w:t>
      </w:r>
      <w:r w:rsidRPr="00054AFF">
        <w:rPr>
          <w:lang w:val="en-US"/>
        </w:rPr>
        <w:t xml:space="preserve"> </w:t>
      </w:r>
      <w:r>
        <w:t>заболеваний</w:t>
      </w:r>
      <w:r w:rsidRPr="00054AFF">
        <w:rPr>
          <w:lang w:val="en-US"/>
        </w:rPr>
        <w:t xml:space="preserve"> </w:t>
      </w:r>
      <w:r>
        <w:t>и</w:t>
      </w:r>
      <w:r w:rsidRPr="00054AFF">
        <w:rPr>
          <w:lang w:val="en-US"/>
        </w:rPr>
        <w:t xml:space="preserve"> </w:t>
      </w:r>
      <w:r>
        <w:t>иммунодефицитов</w:t>
      </w:r>
      <w:r w:rsidRPr="00054AFF">
        <w:rPr>
          <w:lang w:val="en-US"/>
        </w:rPr>
        <w:t xml:space="preserve">. </w:t>
      </w:r>
      <w:r>
        <w:t xml:space="preserve">Практическое руководство. Под редакцией академика РАН Р.М. Хаитова. Издательская группа "ГЭОТАР-Медиа". </w:t>
      </w:r>
      <w:r w:rsidRPr="00054AFF">
        <w:rPr>
          <w:lang w:val="en-US"/>
        </w:rPr>
        <w:t xml:space="preserve">2019. </w:t>
      </w:r>
      <w:r>
        <w:t>С</w:t>
      </w:r>
      <w:r w:rsidRPr="00054AFF">
        <w:rPr>
          <w:lang w:val="en-US"/>
        </w:rPr>
        <w:t>. 90 - 95.</w:t>
      </w:r>
    </w:p>
    <w:p w:rsidR="00054AFF" w:rsidRDefault="00054AFF">
      <w:pPr>
        <w:pStyle w:val="ConsPlusNormal"/>
        <w:spacing w:before="220"/>
        <w:ind w:firstLine="540"/>
        <w:jc w:val="both"/>
      </w:pPr>
      <w:bookmarkStart w:id="45" w:name="P346"/>
      <w:bookmarkEnd w:id="45"/>
      <w:r w:rsidRPr="00054AFF">
        <w:rPr>
          <w:lang w:val="en-US"/>
        </w:rPr>
        <w:t xml:space="preserve">47. Kolawole H, Marshall S, Crilly H, Kerridge R, Roessler P. Australian and New Zealand Anaesthetic Allergy Group/Australian and New Zealand College of Anaesthetists Perioperative Anaphylaxis Management Guidelines. </w:t>
      </w:r>
      <w:r>
        <w:t>Anaesth Intensive Care. 2017; 45(2): 151 - 158.</w:t>
      </w:r>
    </w:p>
    <w:p w:rsidR="00054AFF" w:rsidRDefault="00054AFF">
      <w:pPr>
        <w:pStyle w:val="ConsPlusNormal"/>
        <w:spacing w:before="220"/>
        <w:ind w:firstLine="540"/>
        <w:jc w:val="both"/>
      </w:pPr>
      <w:bookmarkStart w:id="46" w:name="P347"/>
      <w:bookmarkEnd w:id="46"/>
      <w:r>
        <w:lastRenderedPageBreak/>
        <w:t>48. Аллергология и клиническая иммунология. Клинические рекомендации. Главные редакторы акад. РАН Р.М. Хаитов, проф. Н.И. Ильина. - М., 2019. - С. 52 - 69.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47" w:name="P348"/>
      <w:bookmarkEnd w:id="47"/>
      <w:r w:rsidRPr="00054AFF">
        <w:rPr>
          <w:lang w:val="en-US"/>
        </w:rPr>
        <w:t xml:space="preserve">49. Harper N, Dixon T, </w:t>
      </w:r>
      <w:r w:rsidRPr="007829BB">
        <w:rPr>
          <w:position w:val="-6"/>
        </w:rPr>
        <w:pict>
          <v:shape id="_x0000_i1032" style="width:39.75pt;height:18pt" coordsize="" o:spt="100" adj="0,,0" path="" filled="f" stroked="f">
            <v:stroke joinstyle="miter"/>
            <v:imagedata r:id="rId18" o:title="base_1_376477_32775"/>
            <v:formulas/>
            <v:path o:connecttype="segments"/>
          </v:shape>
        </w:pict>
      </w:r>
      <w:r w:rsidRPr="00054AFF">
        <w:rPr>
          <w:lang w:val="en-US"/>
        </w:rPr>
        <w:t xml:space="preserve"> P et al. Suspected Anaphylactic Reactions Associated with Anaesthesia. Anaesthesia. 2009; 64(2): 199 - 211. doi:10.1111/j.1365-2044.2008.05733.x</w:t>
      </w:r>
    </w:p>
    <w:p w:rsidR="00054AFF" w:rsidRPr="00054AFF" w:rsidRDefault="00054AFF">
      <w:pPr>
        <w:pStyle w:val="ConsPlusNormal"/>
        <w:spacing w:before="220"/>
        <w:ind w:firstLine="540"/>
        <w:jc w:val="both"/>
        <w:rPr>
          <w:lang w:val="en-US"/>
        </w:rPr>
      </w:pPr>
      <w:bookmarkStart w:id="48" w:name="P349"/>
      <w:bookmarkEnd w:id="48"/>
      <w:r w:rsidRPr="00054AFF">
        <w:rPr>
          <w:lang w:val="en-US"/>
        </w:rPr>
        <w:t>50. Dykewicz M, Fineman S. Executive Summary of Joint Task Force Practice Parameters on Diagnosis and Management of Rhinitis. Annals of Allergy, Asthma &amp; Immunology. 1998; 81(5): 463 - 468. doi:10.1016/s1081-1206(10) 63152-3</w:t>
      </w:r>
    </w:p>
    <w:p w:rsidR="00054AFF" w:rsidRDefault="00054AFF">
      <w:pPr>
        <w:pStyle w:val="ConsPlusNormal"/>
        <w:spacing w:before="220"/>
        <w:ind w:firstLine="540"/>
        <w:jc w:val="both"/>
      </w:pPr>
      <w:bookmarkStart w:id="49" w:name="P350"/>
      <w:bookmarkEnd w:id="49"/>
      <w:r w:rsidRPr="00054AFF">
        <w:rPr>
          <w:lang w:val="en-US"/>
        </w:rPr>
        <w:t xml:space="preserve">51. </w:t>
      </w:r>
      <w:r>
        <w:t>Баялиева</w:t>
      </w:r>
      <w:r w:rsidRPr="00054AFF">
        <w:rPr>
          <w:lang w:val="en-US"/>
        </w:rPr>
        <w:t xml:space="preserve"> </w:t>
      </w:r>
      <w:r>
        <w:t>А</w:t>
      </w:r>
      <w:r w:rsidRPr="00054AFF">
        <w:rPr>
          <w:lang w:val="en-US"/>
        </w:rPr>
        <w:t>.</w:t>
      </w:r>
      <w:r>
        <w:t>Ж</w:t>
      </w:r>
      <w:r w:rsidRPr="00054AFF">
        <w:rPr>
          <w:lang w:val="en-US"/>
        </w:rPr>
        <w:t xml:space="preserve">., </w:t>
      </w:r>
      <w:r>
        <w:t>Заболотских</w:t>
      </w:r>
      <w:r w:rsidRPr="00054AFF">
        <w:rPr>
          <w:lang w:val="en-US"/>
        </w:rPr>
        <w:t xml:space="preserve"> </w:t>
      </w:r>
      <w:r>
        <w:t>И</w:t>
      </w:r>
      <w:r w:rsidRPr="00054AFF">
        <w:rPr>
          <w:lang w:val="en-US"/>
        </w:rPr>
        <w:t>.</w:t>
      </w:r>
      <w:r>
        <w:t>Б</w:t>
      </w:r>
      <w:r w:rsidRPr="00054AFF">
        <w:rPr>
          <w:lang w:val="en-US"/>
        </w:rPr>
        <w:t xml:space="preserve">., </w:t>
      </w:r>
      <w:r>
        <w:t>Лебединский</w:t>
      </w:r>
      <w:r w:rsidRPr="00054AFF">
        <w:rPr>
          <w:lang w:val="en-US"/>
        </w:rPr>
        <w:t xml:space="preserve"> </w:t>
      </w:r>
      <w:r>
        <w:t>К</w:t>
      </w:r>
      <w:r w:rsidRPr="00054AFF">
        <w:rPr>
          <w:lang w:val="en-US"/>
        </w:rPr>
        <w:t>.</w:t>
      </w:r>
      <w:r>
        <w:t>М</w:t>
      </w:r>
      <w:r w:rsidRPr="00054AFF">
        <w:rPr>
          <w:lang w:val="en-US"/>
        </w:rPr>
        <w:t xml:space="preserve">., </w:t>
      </w:r>
      <w:r>
        <w:t>Мусаева</w:t>
      </w:r>
      <w:r w:rsidRPr="00054AFF">
        <w:rPr>
          <w:lang w:val="en-US"/>
        </w:rPr>
        <w:t xml:space="preserve"> </w:t>
      </w:r>
      <w:r>
        <w:t>Т</w:t>
      </w:r>
      <w:r w:rsidRPr="00054AFF">
        <w:rPr>
          <w:lang w:val="en-US"/>
        </w:rPr>
        <w:t>.</w:t>
      </w:r>
      <w:r>
        <w:t>С</w:t>
      </w:r>
      <w:r w:rsidRPr="00054AFF">
        <w:rPr>
          <w:lang w:val="en-US"/>
        </w:rPr>
        <w:t xml:space="preserve">., </w:t>
      </w:r>
      <w:r>
        <w:t>Шифман</w:t>
      </w:r>
      <w:r w:rsidRPr="00054AFF">
        <w:rPr>
          <w:lang w:val="en-US"/>
        </w:rPr>
        <w:t xml:space="preserve"> </w:t>
      </w:r>
      <w:r>
        <w:t>Е</w:t>
      </w:r>
      <w:r w:rsidRPr="00054AFF">
        <w:rPr>
          <w:lang w:val="en-US"/>
        </w:rPr>
        <w:t>.</w:t>
      </w:r>
      <w:r>
        <w:t>М</w:t>
      </w:r>
      <w:r w:rsidRPr="00054AFF">
        <w:rPr>
          <w:lang w:val="en-US"/>
        </w:rPr>
        <w:t xml:space="preserve">., </w:t>
      </w:r>
      <w:r>
        <w:t>Куликов</w:t>
      </w:r>
      <w:r w:rsidRPr="00054AFF">
        <w:rPr>
          <w:lang w:val="en-US"/>
        </w:rPr>
        <w:t xml:space="preserve"> </w:t>
      </w:r>
      <w:r>
        <w:t>А</w:t>
      </w:r>
      <w:r w:rsidRPr="00054AFF">
        <w:rPr>
          <w:lang w:val="en-US"/>
        </w:rPr>
        <w:t>.</w:t>
      </w:r>
      <w:r>
        <w:t>В</w:t>
      </w:r>
      <w:r w:rsidRPr="00054AFF">
        <w:rPr>
          <w:lang w:val="en-US"/>
        </w:rPr>
        <w:t xml:space="preserve">. </w:t>
      </w:r>
      <w:r>
        <w:t>Профилактика</w:t>
      </w:r>
      <w:r w:rsidRPr="00054AFF">
        <w:rPr>
          <w:lang w:val="en-US"/>
        </w:rPr>
        <w:t xml:space="preserve"> </w:t>
      </w:r>
      <w:r>
        <w:t>и</w:t>
      </w:r>
      <w:r w:rsidRPr="00054AFF">
        <w:rPr>
          <w:lang w:val="en-US"/>
        </w:rPr>
        <w:t xml:space="preserve"> </w:t>
      </w:r>
      <w:r>
        <w:t>лечение</w:t>
      </w:r>
      <w:r w:rsidRPr="00054AFF">
        <w:rPr>
          <w:lang w:val="en-US"/>
        </w:rPr>
        <w:t xml:space="preserve"> </w:t>
      </w:r>
      <w:r>
        <w:t>периоперационной</w:t>
      </w:r>
      <w:r w:rsidRPr="00054AFF">
        <w:rPr>
          <w:lang w:val="en-US"/>
        </w:rPr>
        <w:t xml:space="preserve"> </w:t>
      </w:r>
      <w:r>
        <w:t>анафилаксии</w:t>
      </w:r>
      <w:r w:rsidRPr="00054AFF">
        <w:rPr>
          <w:lang w:val="en-US"/>
        </w:rPr>
        <w:t xml:space="preserve"> </w:t>
      </w:r>
      <w:r>
        <w:t>и</w:t>
      </w:r>
      <w:r w:rsidRPr="00054AFF">
        <w:rPr>
          <w:lang w:val="en-US"/>
        </w:rPr>
        <w:t xml:space="preserve"> </w:t>
      </w:r>
      <w:r>
        <w:t>анафилактического</w:t>
      </w:r>
      <w:r w:rsidRPr="00054AFF">
        <w:rPr>
          <w:lang w:val="en-US"/>
        </w:rPr>
        <w:t xml:space="preserve"> </w:t>
      </w:r>
      <w:r>
        <w:t>шока</w:t>
      </w:r>
      <w:r w:rsidRPr="00054AFF">
        <w:rPr>
          <w:lang w:val="en-US"/>
        </w:rPr>
        <w:t xml:space="preserve">. </w:t>
      </w:r>
      <w:r>
        <w:t>Анестезиология и реаниматология. 2018; 1-2: 82 - 90.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right"/>
        <w:outlineLvl w:val="0"/>
      </w:pPr>
      <w:r>
        <w:t>Приложение А1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</w:pPr>
      <w:r>
        <w:t>СОСТАВ РАБОЧЕЙ ГРУППЫ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1. Астафьева Наталья Григорьевна - д.м.н., профессор, зав. кафедрой клинической иммунологии и аллергологии ФГБОУ ВО Саратовский ГМУ им. В.И. Разумовского МЗ РФ.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2. Баялиева Айнагуль Жолдошевна - д.м.н., профессор, заведующая кафедрой анестезиологии и реаниматологии, медицины катастроф ФГБОУ ВО "Казанский государственный медицинский университет" Минздрава России, член президиума общероссийской общественной организации "Федерация анестезиологов и реаниматологов".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3. Заболотских Игорь Борисович - первый вице-президент Общероссийской общественной организации "Федерация анестезиологов и реаниматологов", д.м.н., профессор, заведующий кафедрой анестезиологии-реаниматологии и трансфузиологии ФПК и ППС ФГБОУ ВО КубГМУ Минздрава России, первый вице-президент Общероссийской общественной организации "Федерация анестезиологов и реаниматологов", ответственный редактор.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4. Ильина Наталья Ивановна - вице-президент Российской ассоциации аллергологов и клинических иммунологов (РААКИ), д.м.н., профессор, заместитель директора ФГБУ "ГНЦ Институт иммунологии" ФМБА России по клинической работе - главный врач, ответственный редактор.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5. Куликов Александр Вениаминович - д.м.н., профессор кафедры анестезиологии, реаниматологии и трансфузиологии ФПК и ПП ФГБОУ ВО "Уральский государственный медицинский университет" Минздрава России (г. Екатеринбург), член Общероссийской общественной организации "Федерация анестезиологов и реаниматологов".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6. Латышева Татьяна Васильевна - д.м.н., профессор кафедры клинической аллергологии и иммунологии ФПДО МГМСУ, заведующий отделением иммунопатологии взрослых ФГБУ "ГНЦ Институт иммунологии" ФМБА России.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7. Лебединский Константин Михайлович - д.м.н., профессор, зав. кафедрой анестезиологии и реаниматологии имени В.Л. Ваневского ФГБОУ ВО "Северо-Западный государственный медицинский университет им. И.И. Мечникова" Минздрава России, президент Общероссийской общественной организации "Федерация анестезиологов и реаниматологов".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8. Мусаева Татьяна Сергеевна - к.м.н., доцент кафедры анестезиологии-реаниматологии и </w:t>
      </w:r>
      <w:r>
        <w:lastRenderedPageBreak/>
        <w:t>трансфузиологии ФПК и ППС ФГБОУ ВО КубГМУ Минздрава России, член Общероссийской общественной организации "Федерация анестезиологов и реаниматологов".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9. Мясникова Татьяна Николаевна - научный сотрудник отделения иммунопатологии взрослых ФГБУ "ГНЦ Институт иммунологии" ФМБА России, к.м.н.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10. Пампура Александр Николаевич - руководитель отдела аллергологии и клинической иммунологии ОСП "НИКИ педиатрии имени академика Ю.Е. Вельтищева ФГБОУ ВО РНИМУ им. Н.И. Пирогова Минздрава РФ, д.м.н., профессор.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11. Фассахов Рустэм Салахович - д.м.н., профессор кафедры фундаментальных основ клинической медицины Казанского Федерального университета.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12. Хлудова Людмила Геннадьевна - младший научный сотрудник отделения иммунопатологии взрослых ФГБУ "ГНЦ Институт иммунологии" ФМБА России.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13. Шифман Ефим Муневич - д.м.н., профессор, профессор кафедры анестезиологии и реаниматологии ФУВ ГБУЗ МО "Московский областной научно-исследовательский клинический институт им. М.Ф. Владимирского", эксперт по анестезиологии и реаниматологии Федеральной службы по надзору в сфере здравоохранения, член президиума общероссийской общественной организации "Федерация анестезиологов и реаниматологов".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right"/>
        <w:outlineLvl w:val="0"/>
      </w:pPr>
      <w:r>
        <w:t>Приложение А2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</w:pPr>
      <w:r>
        <w:t>МЕТОДОЛОГИЯ РАЗРАБОТКИ КЛИНИЧЕСКИХ РЕКОМЕНДАЦИЙ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Целевая аудитория данных клинических рекомендаций: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 - акушер-гинеколог;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 - аллерголог-иммунолог;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 - анестезиолог-реаниматолог;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врач-гастроэнтеролог;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врач-генетик;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врач-дерматовенеролог;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 - детский хирург;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 - лабораторный генетик;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врач-неонатолог;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 общей практики (семейный врач);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врач-ортодонт;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врач-оториноларинголог;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врач-педиатр;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lastRenderedPageBreak/>
        <w:t>- врач-педиатр городской (районный);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врач-педиатр участковый;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 - пластический хирург;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 по гигиене детей и подростков;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 по гигиене труда;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 по общей гигиене;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 приемного отделения;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 скорой медицинской помощи;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врач-стоматолог;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 - стоматолог детский;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 - стоматолог-ортопед;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 - стоматолог-терапевт;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 - стоматолог-хирург;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врач-терапевт;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врач-терапевт подростковый;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врач-терапевт участковый;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врач-терапевт участковый цехового врачебного участка;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врач-трансфузиолог;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 функциональной диагностики;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врач-хирург;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 - челюстно-лицевой хирург;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- врач-эндоскопист;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Методология разработки клинических рекомендаций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2 члена рабочей группы (Мясникова Татьяна Николаевна и Хлудова Людмила Геннадьевна) независимо друг от друга выполняли систематический поиск и отбор публикаций независимо друг от друга с 01.08.2019 по 23.09.2019. Поиск проводился в поисковой системе PubMed (http://www.ncbi.nlm.nih.gov/pubmed/), Кокрановской библиотеке (http:/www.cochranelibrary.com/), научной электронной библиотеке eLIBRARY.ru (http://elibrary.ru/defaultx.asp), базе данных EMBASE (https://www.elsevier.com/solutions/embase biomedical research), а также по регистрам клинических испытаний: https://clinicaltrials.gov/ и https://www.clinicaltrialsregister.eu/ctrsearch/search. Было найдено 250 публикаций, и из них было отобрано 110 публикаций. В случае возникновения разногласий при отборе публикации привлекались остальные члены рабочей группы. На основании отобранных публикаций оба эксперта независимо друг от друга сформулировали тезис-рекомендации, которые были оценены с помощью шкал оценки уровней достоверности доказательств и методов диагностики, оценки </w:t>
      </w:r>
      <w:r>
        <w:lastRenderedPageBreak/>
        <w:t>уровней достоверности доказательств (УДД) для методов профилактики, лечения и реабилитации (профилактических, лечебных, реабилитационных вмешательств), оценки уровней убедительности рекомендаций (УУР) для методов профилактики, диагностики, лечения и реабилитации (профилактических, диагностических, лечебных, реабилитационных вмешательств) (</w:t>
      </w:r>
      <w:hyperlink w:anchor="P428" w:history="1">
        <w:r>
          <w:rPr>
            <w:color w:val="0000FF"/>
          </w:rPr>
          <w:t>Приложение 1</w:t>
        </w:r>
      </w:hyperlink>
      <w:r>
        <w:t xml:space="preserve">, </w:t>
      </w:r>
      <w:hyperlink w:anchor="P450" w:history="1">
        <w:r>
          <w:rPr>
            <w:color w:val="0000FF"/>
          </w:rPr>
          <w:t>Приложение 2</w:t>
        </w:r>
      </w:hyperlink>
      <w:r>
        <w:t xml:space="preserve">, </w:t>
      </w:r>
      <w:hyperlink w:anchor="P473" w:history="1">
        <w:r>
          <w:rPr>
            <w:color w:val="0000FF"/>
          </w:rPr>
          <w:t>Приложение 3</w:t>
        </w:r>
      </w:hyperlink>
      <w:r>
        <w:t>). В дальнейшем каждая тезис-рекомендация была тщательно обсуждена на общем собрании рабочей группы, во всех случаях разногласия был достигнут консенсус.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right"/>
        <w:outlineLvl w:val="1"/>
      </w:pPr>
      <w:r>
        <w:t>Приложение 1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</w:pPr>
      <w:bookmarkStart w:id="50" w:name="P428"/>
      <w:bookmarkEnd w:id="50"/>
      <w:r>
        <w:t>ШКАЛА ОЦЕНКИ УРОВНЕЙ ДОСТОВЕРНОСТИ ДОКАЗАТЕЛЬСТВ (УДД)</w:t>
      </w:r>
    </w:p>
    <w:p w:rsidR="00054AFF" w:rsidRDefault="00054AFF">
      <w:pPr>
        <w:pStyle w:val="ConsPlusTitle"/>
        <w:jc w:val="center"/>
      </w:pPr>
      <w:r>
        <w:t>ДЛЯ МЕТОДОВ ДИАГНОСТИКИ (ДИАГНОСТИЧЕСКИХ ВМЕШАТЕЛЬСТВ)</w:t>
      </w:r>
    </w:p>
    <w:p w:rsidR="00054AFF" w:rsidRDefault="00054A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3"/>
        <w:gridCol w:w="8277"/>
      </w:tblGrid>
      <w:tr w:rsidR="00054AFF">
        <w:tc>
          <w:tcPr>
            <w:tcW w:w="793" w:type="dxa"/>
          </w:tcPr>
          <w:p w:rsidR="00054AFF" w:rsidRDefault="00054AFF">
            <w:pPr>
              <w:pStyle w:val="ConsPlusNormal"/>
              <w:jc w:val="center"/>
            </w:pPr>
            <w:r>
              <w:t>УДД</w:t>
            </w:r>
          </w:p>
        </w:tc>
        <w:tc>
          <w:tcPr>
            <w:tcW w:w="8277" w:type="dxa"/>
          </w:tcPr>
          <w:p w:rsidR="00054AFF" w:rsidRDefault="00054AFF">
            <w:pPr>
              <w:pStyle w:val="ConsPlusNormal"/>
              <w:jc w:val="center"/>
            </w:pPr>
            <w:r>
              <w:t>Расшифровка</w:t>
            </w:r>
          </w:p>
        </w:tc>
      </w:tr>
      <w:tr w:rsidR="00054AFF">
        <w:tc>
          <w:tcPr>
            <w:tcW w:w="793" w:type="dxa"/>
          </w:tcPr>
          <w:p w:rsidR="00054AFF" w:rsidRDefault="00054AFF">
            <w:pPr>
              <w:pStyle w:val="ConsPlusNormal"/>
            </w:pPr>
            <w:r>
              <w:t>1</w:t>
            </w:r>
          </w:p>
        </w:tc>
        <w:tc>
          <w:tcPr>
            <w:tcW w:w="8277" w:type="dxa"/>
          </w:tcPr>
          <w:p w:rsidR="00054AFF" w:rsidRDefault="00054AFF">
            <w:pPr>
              <w:pStyle w:val="ConsPlusNormal"/>
              <w:jc w:val="both"/>
            </w:pPr>
            <w:r>
              <w:t>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мета-анализа</w:t>
            </w:r>
          </w:p>
        </w:tc>
      </w:tr>
      <w:tr w:rsidR="00054AFF">
        <w:tc>
          <w:tcPr>
            <w:tcW w:w="793" w:type="dxa"/>
          </w:tcPr>
          <w:p w:rsidR="00054AFF" w:rsidRDefault="00054AFF">
            <w:pPr>
              <w:pStyle w:val="ConsPlusNormal"/>
            </w:pPr>
            <w:r>
              <w:t>2</w:t>
            </w:r>
          </w:p>
        </w:tc>
        <w:tc>
          <w:tcPr>
            <w:tcW w:w="8277" w:type="dxa"/>
          </w:tcPr>
          <w:p w:rsidR="00054AFF" w:rsidRDefault="00054AFF">
            <w:pPr>
              <w:pStyle w:val="ConsPlusNormal"/>
              <w:jc w:val="both"/>
            </w:pPr>
            <w:r>
              <w:t>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054AFF">
        <w:tc>
          <w:tcPr>
            <w:tcW w:w="793" w:type="dxa"/>
          </w:tcPr>
          <w:p w:rsidR="00054AFF" w:rsidRDefault="00054AFF">
            <w:pPr>
              <w:pStyle w:val="ConsPlusNormal"/>
            </w:pPr>
            <w:r>
              <w:t>3</w:t>
            </w:r>
          </w:p>
        </w:tc>
        <w:tc>
          <w:tcPr>
            <w:tcW w:w="8277" w:type="dxa"/>
          </w:tcPr>
          <w:p w:rsidR="00054AFF" w:rsidRDefault="00054AFF">
            <w:pPr>
              <w:pStyle w:val="ConsPlusNormal"/>
              <w:jc w:val="both"/>
            </w:pPr>
            <w:r>
              <w:t>Исследования без последовательного контроля референсным методом или исследования с референсным методом, не являющимся независимым от исследуемого метода или нерандомизированные сравнительные исследования, в том числе когортные исследования</w:t>
            </w:r>
          </w:p>
        </w:tc>
      </w:tr>
      <w:tr w:rsidR="00054AFF">
        <w:tc>
          <w:tcPr>
            <w:tcW w:w="793" w:type="dxa"/>
          </w:tcPr>
          <w:p w:rsidR="00054AFF" w:rsidRDefault="00054AFF">
            <w:pPr>
              <w:pStyle w:val="ConsPlusNormal"/>
            </w:pPr>
            <w:r>
              <w:t>4</w:t>
            </w:r>
          </w:p>
        </w:tc>
        <w:tc>
          <w:tcPr>
            <w:tcW w:w="8277" w:type="dxa"/>
          </w:tcPr>
          <w:p w:rsidR="00054AFF" w:rsidRDefault="00054AFF">
            <w:pPr>
              <w:pStyle w:val="ConsPlusNormal"/>
              <w:jc w:val="both"/>
            </w:pPr>
            <w:r>
              <w:t>Несравнительные исследования, описание клинического случая</w:t>
            </w:r>
          </w:p>
        </w:tc>
      </w:tr>
      <w:tr w:rsidR="00054AFF">
        <w:tc>
          <w:tcPr>
            <w:tcW w:w="793" w:type="dxa"/>
          </w:tcPr>
          <w:p w:rsidR="00054AFF" w:rsidRDefault="00054AFF">
            <w:pPr>
              <w:pStyle w:val="ConsPlusNormal"/>
            </w:pPr>
            <w:r>
              <w:t>5</w:t>
            </w:r>
          </w:p>
        </w:tc>
        <w:tc>
          <w:tcPr>
            <w:tcW w:w="8277" w:type="dxa"/>
          </w:tcPr>
          <w:p w:rsidR="00054AFF" w:rsidRDefault="00054AFF">
            <w:pPr>
              <w:pStyle w:val="ConsPlusNormal"/>
              <w:jc w:val="both"/>
            </w:pPr>
            <w:r>
              <w:t>Имеется лишь обоснование механизма действия или мнение экспертов</w:t>
            </w:r>
          </w:p>
        </w:tc>
      </w:tr>
    </w:tbl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right"/>
        <w:outlineLvl w:val="1"/>
      </w:pPr>
      <w:r>
        <w:t>Приложение 2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</w:pPr>
      <w:bookmarkStart w:id="51" w:name="P450"/>
      <w:bookmarkEnd w:id="51"/>
      <w:r>
        <w:t>ШКАЛА ОЦЕНКИ УРОВНЕЙ ДОСТОВЕРНОСТИ ДОКАЗАТЕЛЬСТВ (УДД)</w:t>
      </w:r>
    </w:p>
    <w:p w:rsidR="00054AFF" w:rsidRDefault="00054AFF">
      <w:pPr>
        <w:pStyle w:val="ConsPlusTitle"/>
        <w:jc w:val="center"/>
      </w:pPr>
      <w:r>
        <w:t>ДЛЯ МЕТОДОВ ПРОФИЛАКТИКИ, ЛЕЧЕНИЯ И РЕАБИЛИТАЦИИ</w:t>
      </w:r>
    </w:p>
    <w:p w:rsidR="00054AFF" w:rsidRDefault="00054AFF">
      <w:pPr>
        <w:pStyle w:val="ConsPlusTitle"/>
        <w:jc w:val="center"/>
      </w:pPr>
      <w:r>
        <w:t>(ПРОФИЛАКТИЧЕСКИХ, ЛЕЧЕБНЫХ, РЕАБИЛИТАЦИОННЫХ ВМЕШАТЕЛЬСТВ)</w:t>
      </w:r>
    </w:p>
    <w:p w:rsidR="00054AFF" w:rsidRDefault="00054A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3"/>
        <w:gridCol w:w="8277"/>
      </w:tblGrid>
      <w:tr w:rsidR="00054AFF">
        <w:tc>
          <w:tcPr>
            <w:tcW w:w="793" w:type="dxa"/>
          </w:tcPr>
          <w:p w:rsidR="00054AFF" w:rsidRDefault="00054AFF">
            <w:pPr>
              <w:pStyle w:val="ConsPlusNormal"/>
              <w:jc w:val="center"/>
            </w:pPr>
            <w:r>
              <w:t>УДД</w:t>
            </w:r>
          </w:p>
        </w:tc>
        <w:tc>
          <w:tcPr>
            <w:tcW w:w="8277" w:type="dxa"/>
          </w:tcPr>
          <w:p w:rsidR="00054AFF" w:rsidRDefault="00054AFF">
            <w:pPr>
              <w:pStyle w:val="ConsPlusNormal"/>
              <w:jc w:val="center"/>
            </w:pPr>
            <w:r>
              <w:t>Расшифровка</w:t>
            </w:r>
          </w:p>
        </w:tc>
      </w:tr>
      <w:tr w:rsidR="00054AFF">
        <w:tc>
          <w:tcPr>
            <w:tcW w:w="793" w:type="dxa"/>
          </w:tcPr>
          <w:p w:rsidR="00054AFF" w:rsidRDefault="00054AFF">
            <w:pPr>
              <w:pStyle w:val="ConsPlusNormal"/>
            </w:pPr>
            <w:r>
              <w:t>1</w:t>
            </w:r>
          </w:p>
        </w:tc>
        <w:tc>
          <w:tcPr>
            <w:tcW w:w="8277" w:type="dxa"/>
          </w:tcPr>
          <w:p w:rsidR="00054AFF" w:rsidRDefault="00054AFF">
            <w:pPr>
              <w:pStyle w:val="ConsPlusNormal"/>
              <w:jc w:val="both"/>
            </w:pPr>
            <w:r>
              <w:t>Систематический обзор РКИ с применением мета-анализа</w:t>
            </w:r>
          </w:p>
        </w:tc>
      </w:tr>
      <w:tr w:rsidR="00054AFF">
        <w:tc>
          <w:tcPr>
            <w:tcW w:w="793" w:type="dxa"/>
          </w:tcPr>
          <w:p w:rsidR="00054AFF" w:rsidRDefault="00054AFF">
            <w:pPr>
              <w:pStyle w:val="ConsPlusNormal"/>
            </w:pPr>
            <w:r>
              <w:t>2</w:t>
            </w:r>
          </w:p>
        </w:tc>
        <w:tc>
          <w:tcPr>
            <w:tcW w:w="8277" w:type="dxa"/>
          </w:tcPr>
          <w:p w:rsidR="00054AFF" w:rsidRDefault="00054AFF">
            <w:pPr>
              <w:pStyle w:val="ConsPlusNormal"/>
              <w:jc w:val="both"/>
            </w:pPr>
            <w:r>
              <w:t>Отдельные РКИ и систематические обзоры исследований любого дизайна, за исключением РКИ, с применением мета-анализа</w:t>
            </w:r>
          </w:p>
        </w:tc>
      </w:tr>
      <w:tr w:rsidR="00054AFF">
        <w:tc>
          <w:tcPr>
            <w:tcW w:w="793" w:type="dxa"/>
          </w:tcPr>
          <w:p w:rsidR="00054AFF" w:rsidRDefault="00054AFF">
            <w:pPr>
              <w:pStyle w:val="ConsPlusNormal"/>
            </w:pPr>
            <w:r>
              <w:lastRenderedPageBreak/>
              <w:t>3</w:t>
            </w:r>
          </w:p>
        </w:tc>
        <w:tc>
          <w:tcPr>
            <w:tcW w:w="8277" w:type="dxa"/>
          </w:tcPr>
          <w:p w:rsidR="00054AFF" w:rsidRDefault="00054AFF">
            <w:pPr>
              <w:pStyle w:val="ConsPlusNormal"/>
              <w:jc w:val="both"/>
            </w:pPr>
            <w:r>
              <w:t>Нерандомизированные сравнительные исследования, в т.ч. когортные исследования</w:t>
            </w:r>
          </w:p>
        </w:tc>
      </w:tr>
      <w:tr w:rsidR="00054AFF">
        <w:tc>
          <w:tcPr>
            <w:tcW w:w="793" w:type="dxa"/>
          </w:tcPr>
          <w:p w:rsidR="00054AFF" w:rsidRDefault="00054AFF">
            <w:pPr>
              <w:pStyle w:val="ConsPlusNormal"/>
            </w:pPr>
            <w:r>
              <w:t>4</w:t>
            </w:r>
          </w:p>
        </w:tc>
        <w:tc>
          <w:tcPr>
            <w:tcW w:w="8277" w:type="dxa"/>
          </w:tcPr>
          <w:p w:rsidR="00054AFF" w:rsidRDefault="00054AFF">
            <w:pPr>
              <w:pStyle w:val="ConsPlusNormal"/>
              <w:jc w:val="both"/>
            </w:pPr>
            <w:r>
              <w:t>Несравнительные исследования, описание клинического случая или серии случаев, исследования "случай-контроль"</w:t>
            </w:r>
          </w:p>
        </w:tc>
      </w:tr>
      <w:tr w:rsidR="00054AFF">
        <w:tc>
          <w:tcPr>
            <w:tcW w:w="793" w:type="dxa"/>
          </w:tcPr>
          <w:p w:rsidR="00054AFF" w:rsidRDefault="00054AFF">
            <w:pPr>
              <w:pStyle w:val="ConsPlusNormal"/>
            </w:pPr>
            <w:r>
              <w:t>5</w:t>
            </w:r>
          </w:p>
        </w:tc>
        <w:tc>
          <w:tcPr>
            <w:tcW w:w="8277" w:type="dxa"/>
          </w:tcPr>
          <w:p w:rsidR="00054AFF" w:rsidRDefault="00054AFF">
            <w:pPr>
              <w:pStyle w:val="ConsPlusNormal"/>
              <w:jc w:val="both"/>
            </w:pPr>
            <w:r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right"/>
        <w:outlineLvl w:val="1"/>
      </w:pPr>
      <w:r>
        <w:t>Приложение 3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</w:pPr>
      <w:bookmarkStart w:id="52" w:name="P473"/>
      <w:bookmarkEnd w:id="52"/>
      <w:r>
        <w:t>ШКАЛА ОЦЕНКИ УРОВНЕЙ УБЕДИТЕЛЬНОСТИ РЕКОМЕНДАЦИЙ (УУР)</w:t>
      </w:r>
    </w:p>
    <w:p w:rsidR="00054AFF" w:rsidRDefault="00054AFF">
      <w:pPr>
        <w:pStyle w:val="ConsPlusTitle"/>
        <w:jc w:val="center"/>
      </w:pPr>
      <w:r>
        <w:t>ДЛЯ МЕТОДОВ ПРОФИЛАКТИКИ, ДИАГНОСТИКИ, ЛЕЧЕНИЯ</w:t>
      </w:r>
    </w:p>
    <w:p w:rsidR="00054AFF" w:rsidRDefault="00054AFF">
      <w:pPr>
        <w:pStyle w:val="ConsPlusTitle"/>
        <w:jc w:val="center"/>
      </w:pPr>
      <w:r>
        <w:t>И РЕАБИЛИТАЦИИ (ПРОФИЛАКТИЧЕСКИХ, ДИАГНОСТИЧЕСКИХ,</w:t>
      </w:r>
    </w:p>
    <w:p w:rsidR="00054AFF" w:rsidRDefault="00054AFF">
      <w:pPr>
        <w:pStyle w:val="ConsPlusTitle"/>
        <w:jc w:val="center"/>
      </w:pPr>
      <w:r>
        <w:t>ЛЕЧЕБНЫХ, РЕАБИЛИТАЦИОННЫХ ВМЕШАТЕЛЬСТВ)</w:t>
      </w:r>
    </w:p>
    <w:p w:rsidR="00054AFF" w:rsidRDefault="00054A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3"/>
        <w:gridCol w:w="8277"/>
      </w:tblGrid>
      <w:tr w:rsidR="00054AFF">
        <w:tc>
          <w:tcPr>
            <w:tcW w:w="793" w:type="dxa"/>
          </w:tcPr>
          <w:p w:rsidR="00054AFF" w:rsidRDefault="00054AFF">
            <w:pPr>
              <w:pStyle w:val="ConsPlusNormal"/>
              <w:jc w:val="center"/>
            </w:pPr>
            <w:r>
              <w:t>УУР</w:t>
            </w:r>
          </w:p>
        </w:tc>
        <w:tc>
          <w:tcPr>
            <w:tcW w:w="8277" w:type="dxa"/>
          </w:tcPr>
          <w:p w:rsidR="00054AFF" w:rsidRDefault="00054AFF">
            <w:pPr>
              <w:pStyle w:val="ConsPlusNormal"/>
              <w:jc w:val="center"/>
            </w:pPr>
            <w:r>
              <w:t>Расшифровка</w:t>
            </w:r>
          </w:p>
        </w:tc>
      </w:tr>
      <w:tr w:rsidR="00054AFF">
        <w:tc>
          <w:tcPr>
            <w:tcW w:w="793" w:type="dxa"/>
          </w:tcPr>
          <w:p w:rsidR="00054AFF" w:rsidRDefault="00054AFF">
            <w:pPr>
              <w:pStyle w:val="ConsPlusNormal"/>
            </w:pPr>
            <w:bookmarkStart w:id="53" w:name="P480"/>
            <w:bookmarkEnd w:id="53"/>
            <w:r>
              <w:t>A</w:t>
            </w:r>
          </w:p>
        </w:tc>
        <w:tc>
          <w:tcPr>
            <w:tcW w:w="8277" w:type="dxa"/>
          </w:tcPr>
          <w:p w:rsidR="00054AFF" w:rsidRDefault="00054AFF">
            <w:pPr>
              <w:pStyle w:val="ConsPlusNormal"/>
              <w:jc w:val="both"/>
            </w:pPr>
            <w:r>
              <w:t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</w:t>
            </w:r>
          </w:p>
        </w:tc>
      </w:tr>
      <w:tr w:rsidR="00054AFF">
        <w:tc>
          <w:tcPr>
            <w:tcW w:w="793" w:type="dxa"/>
          </w:tcPr>
          <w:p w:rsidR="00054AFF" w:rsidRDefault="00054AFF">
            <w:pPr>
              <w:pStyle w:val="ConsPlusNormal"/>
            </w:pPr>
            <w:bookmarkStart w:id="54" w:name="P482"/>
            <w:bookmarkEnd w:id="54"/>
            <w:r>
              <w:t>B</w:t>
            </w:r>
          </w:p>
        </w:tc>
        <w:tc>
          <w:tcPr>
            <w:tcW w:w="8277" w:type="dxa"/>
          </w:tcPr>
          <w:p w:rsidR="00054AFF" w:rsidRDefault="00054AFF">
            <w:pPr>
              <w:pStyle w:val="ConsPlusNormal"/>
              <w:jc w:val="both"/>
            </w:pPr>
            <w:r>
              <w:t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</w:t>
            </w:r>
          </w:p>
        </w:tc>
      </w:tr>
      <w:tr w:rsidR="00054AFF">
        <w:tc>
          <w:tcPr>
            <w:tcW w:w="793" w:type="dxa"/>
          </w:tcPr>
          <w:p w:rsidR="00054AFF" w:rsidRDefault="00054AFF">
            <w:pPr>
              <w:pStyle w:val="ConsPlusNormal"/>
            </w:pPr>
            <w:bookmarkStart w:id="55" w:name="P484"/>
            <w:bookmarkEnd w:id="55"/>
            <w:r>
              <w:t>C</w:t>
            </w:r>
          </w:p>
        </w:tc>
        <w:tc>
          <w:tcPr>
            <w:tcW w:w="8277" w:type="dxa"/>
          </w:tcPr>
          <w:p w:rsidR="00054AFF" w:rsidRDefault="00054AFF">
            <w:pPr>
              <w:pStyle w:val="ConsPlusNormal"/>
              <w:jc w:val="both"/>
            </w:pPr>
            <w:r>
              <w:t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</w:t>
            </w:r>
          </w:p>
        </w:tc>
      </w:tr>
    </w:tbl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Порядок обновления клинических рекомендаций.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Механизм обновления клинических рекомендаций предусматривает их систематическую актуализацию - не реже чем один раз в три года,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утвержденным КР, но не чаще 1 раза в 6 месяцев.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right"/>
        <w:outlineLvl w:val="0"/>
      </w:pPr>
      <w:r>
        <w:t>Приложение А3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</w:pPr>
      <w:r>
        <w:t>СВЯЗАННЫЕ ДОКУМЕНТЫ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 xml:space="preserve">1. Федеральный </w:t>
      </w:r>
      <w:hyperlink r:id="rId19" w:history="1">
        <w:r>
          <w:rPr>
            <w:color w:val="0000FF"/>
          </w:rPr>
          <w:t>закон</w:t>
        </w:r>
      </w:hyperlink>
      <w:r>
        <w:t xml:space="preserve"> от 25.12.2018 N 489 489-ФЗ "О внесении изменений в статью 40 </w:t>
      </w:r>
      <w:r>
        <w:lastRenderedPageBreak/>
        <w:t>Федерального закона "Об обязательном медицинском страховании в Российской Федерации" и Федеральный закон "Об основах охраны здоровья граждан в Российской Федерации" по вопросам клинических рекомендаций".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2. </w:t>
      </w:r>
      <w:hyperlink r:id="rId20" w:history="1">
        <w:r>
          <w:rPr>
            <w:color w:val="0000FF"/>
          </w:rPr>
          <w:t>Приказ</w:t>
        </w:r>
      </w:hyperlink>
      <w:r>
        <w:t xml:space="preserve"> Минздрава РФ N 103н от 28.02.2019 "Об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рекомендации информации".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3. </w:t>
      </w:r>
      <w:hyperlink r:id="rId21" w:history="1">
        <w:r>
          <w:rPr>
            <w:color w:val="0000FF"/>
          </w:rPr>
          <w:t>Приказ</w:t>
        </w:r>
      </w:hyperlink>
      <w:r>
        <w:t xml:space="preserve"> Минздрава России от 13.10.2017 N 804н "Об утверждении номенклатуры медицинских услуг".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 xml:space="preserve">4. </w:t>
      </w:r>
      <w:hyperlink r:id="rId22" w:history="1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(Минздрав России) от 20 декабря 2012 г. N 1183н.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right"/>
        <w:outlineLvl w:val="0"/>
      </w:pPr>
      <w:r>
        <w:t>Приложение А4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</w:pPr>
      <w:r>
        <w:t>РЕКОМЕНДУЕМЫЙ ПРОТИВОШОКОВЫЙ НАБОР</w:t>
      </w:r>
    </w:p>
    <w:p w:rsidR="00054AFF" w:rsidRDefault="00054AFF">
      <w:pPr>
        <w:pStyle w:val="ConsPlusTitle"/>
        <w:jc w:val="center"/>
      </w:pPr>
      <w:r>
        <w:t>(ДЛЯ ПРОЦЕДУРНЫХ, СТОМАТОЛОГИЧЕСКИХ КАБИНЕТОВ)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1. Раствор эпинефрин** 0,1% в ампулах N 10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2. Раствор преднизолона** (30 мг) в ампулах N 10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3. Раствор дексаметазона** (4 мг) в ампулах N 10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4. Раствор гидрокортизона** 100 мг - N 10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5. Раствор бетаметазона (действующие вещества: бетаметазона дипропионат 6,43 мг и бетаметазона натрия фосфат 2,63 мг) в ампулах N 10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6. Дифенгидрамин** 1% в ампулах N 10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7. Клемастин 0,1% - 2 мл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8. Хлоропирамин** 2% - 1 мл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9. Сальбутамол** аэрозоль для ингаляций дозированный 100 мкг/доза N 2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10. Раствор декстрозы** 40% в ампулах N 20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11. Раствор хлорида натрия** 0,9% в ампулах N 20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12. Раствор декстрозы** 5% - 250 мл (стерильно) N 2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13. Раствор натрия хлорида** 0,9% - 400 мл N 2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14. Раствор атропина** 0,1% в ампулах N 5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15. Этанол** 70% - 100 мл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16. Роторасширитель N 1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lastRenderedPageBreak/>
        <w:t>17. Языкодержатель N 1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18. Жгут N 1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19. Шприцы одноразового пользования 1 мл, 2 мл, 5 мл, 10 мл и иглы к ним по 5 шт.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20. В/в катетер или игла (калибром G 14 - 18; 2,2 - 1,2 мм) N 5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21. Система для в/в капельных инфузий N 2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22. Перчатки медицинские одноразовые 2 пары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23. Воздуховод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24. Аппарат дыхательный ручной (тип AMBU)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25. Ларингеальная маска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right"/>
        <w:outlineLvl w:val="0"/>
      </w:pPr>
      <w:r>
        <w:t>Приложение Б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</w:pPr>
      <w:r>
        <w:t>АЛГОРИТМЫ ВЕДЕНИЯ ПАЦИЕНТА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center"/>
      </w:pPr>
      <w:r w:rsidRPr="007829BB">
        <w:rPr>
          <w:position w:val="-457"/>
        </w:rPr>
        <w:lastRenderedPageBreak/>
        <w:pict>
          <v:shape id="_x0000_i1033" style="width:406.5pt;height:468.75pt" coordsize="" o:spt="100" adj="0,,0" path="" filled="f" stroked="f">
            <v:stroke joinstyle="miter"/>
            <v:imagedata r:id="rId23" o:title="base_1_376477_32776"/>
            <v:formulas/>
            <v:path o:connecttype="segments"/>
          </v:shape>
        </w:pic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Анафилактический шок (АШ)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center"/>
      </w:pPr>
      <w:r w:rsidRPr="007829BB">
        <w:rPr>
          <w:position w:val="-108"/>
        </w:rPr>
        <w:pict>
          <v:shape id="_x0000_i1034" style="width:218.25pt;height:119.25pt" coordsize="" o:spt="100" adj="0,,0" path="" filled="f" stroked="f">
            <v:stroke joinstyle="miter"/>
            <v:imagedata r:id="rId24" o:title="base_1_376477_32777"/>
            <v:formulas/>
            <v:path o:connecttype="segments"/>
          </v:shape>
        </w:pic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right"/>
        <w:outlineLvl w:val="0"/>
      </w:pPr>
      <w:r>
        <w:t>Приложение В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Title"/>
        <w:jc w:val="center"/>
      </w:pPr>
      <w:r>
        <w:lastRenderedPageBreak/>
        <w:t>ИНФОРМАЦИЯ ДЛЯ ПАЦИЕНТОВ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1. Пациенты, перенесшие АШ на введение ЛС, должны быть информированы о причинно-значимых ЛС и не должны их применять в дальнейшем.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2. Пациенты с АШ на ужаления перепончатокрылыми должны избегать ужалений перепончатокрылыми и иметь при себе раствор эпинефрина** 0,1%, кортикостероиды для системного использования в растворе, антигистаминные препараты для системного использования.</w:t>
      </w:r>
    </w:p>
    <w:p w:rsidR="00054AFF" w:rsidRDefault="00054AFF">
      <w:pPr>
        <w:pStyle w:val="ConsPlusNormal"/>
        <w:spacing w:before="220"/>
        <w:ind w:firstLine="540"/>
        <w:jc w:val="both"/>
      </w:pPr>
      <w:r>
        <w:t>3. Пациенты с АШ на пищевые продукты должны исключить эти продукты из употребления и иметь при себе раствор эпинефрина** 0,1%, кортикостероиды для системного использования в растворе, антигистаминные препараты для системного использования.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right"/>
        <w:outlineLvl w:val="0"/>
      </w:pPr>
      <w:r>
        <w:t>Приложение Г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ind w:firstLine="540"/>
        <w:jc w:val="both"/>
      </w:pPr>
      <w:r>
        <w:t>Нет</w:t>
      </w: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jc w:val="both"/>
      </w:pPr>
    </w:p>
    <w:p w:rsidR="00054AFF" w:rsidRDefault="00054AF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82A8A" w:rsidRDefault="00882A8A"/>
    <w:sectPr w:rsidR="00882A8A" w:rsidSect="005E3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54AFF"/>
    <w:rsid w:val="00054AFF"/>
    <w:rsid w:val="00882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A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4A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54AF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54A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54AF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54A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54A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54A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54AF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AA0A6D0B0CD65E811EB1CA5A7DEF95C4D2BB39D5976239C136CC501C9E6DA2E044486B489B898625D359B66E93E5CBA90F3AD1FB9AD50BI065G" TargetMode="External"/><Relationship Id="rId13" Type="http://schemas.openxmlformats.org/officeDocument/2006/relationships/hyperlink" Target="consultantplus://offline/ref=8DAA0A6D0B0CD65E811EB1CA5A7DEF95C4D2BB39D5976239C136CC501C9E6DA2E044486B489B898625D359B66E93E5CBA90F3AD1FB9AD50BI065G" TargetMode="External"/><Relationship Id="rId18" Type="http://schemas.openxmlformats.org/officeDocument/2006/relationships/image" Target="media/image5.wmf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DAA0A6D0B0CD65E811EB8D35D7DEF95C0D6BB34DD906239C136CC501C9E6DA2F24410674C90978722C60FE728IC64G" TargetMode="External"/><Relationship Id="rId7" Type="http://schemas.openxmlformats.org/officeDocument/2006/relationships/hyperlink" Target="consultantplus://offline/ref=8DAA0A6D0B0CD65E811EB1CA5A7DEF95C4D2BB39D5976239C136CC501C9E6DA2E044486B489A8E8426D359B66E93E5CBA90F3AD1FB9AD50BI065G" TargetMode="External"/><Relationship Id="rId12" Type="http://schemas.openxmlformats.org/officeDocument/2006/relationships/hyperlink" Target="consultantplus://offline/ref=8DAA0A6D0B0CD65E811EB1CA5A7DEF95C4D2BB39D5976239C136CC501C9E6DA2E044486B489A8E8426D359B66E93E5CBA90F3AD1FB9AD50BI065G" TargetMode="External"/><Relationship Id="rId17" Type="http://schemas.openxmlformats.org/officeDocument/2006/relationships/image" Target="media/image4.wmf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3.wmf"/><Relationship Id="rId20" Type="http://schemas.openxmlformats.org/officeDocument/2006/relationships/hyperlink" Target="consultantplus://offline/ref=8DAA0A6D0B0CD65E811EB8D35D7DEF95C0D4B232D99F6239C136CC501C9E6DA2F24410674C90978722C60FE728IC64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DAA0A6D0B0CD65E811EB1CA5A7DEF95C4D2BB39D5976239C136CC501C9E6DA2E044486B489A8F8724D359B66E93E5CBA90F3AD1FB9AD50BI065G" TargetMode="External"/><Relationship Id="rId11" Type="http://schemas.openxmlformats.org/officeDocument/2006/relationships/hyperlink" Target="consultantplus://offline/ref=8DAA0A6D0B0CD65E811EB1CA5A7DEF95C4D2BB39D5976239C136CC501C9E6DA2E044486B489A8F8724D359B66E93E5CBA90F3AD1FB9AD50BI065G" TargetMode="External"/><Relationship Id="rId24" Type="http://schemas.openxmlformats.org/officeDocument/2006/relationships/image" Target="media/image7.jpeg"/><Relationship Id="rId5" Type="http://schemas.openxmlformats.org/officeDocument/2006/relationships/hyperlink" Target="consultantplus://offline/ref=8DAA0A6D0B0CD65E811EB1CA5A7DEF95C4D2BB39D5976239C136CC501C9E6DA2E044486B489A8F8723D359B66E93E5CBA90F3AD1FB9AD50BI065G" TargetMode="External"/><Relationship Id="rId15" Type="http://schemas.openxmlformats.org/officeDocument/2006/relationships/image" Target="media/image2.wmf"/><Relationship Id="rId23" Type="http://schemas.openxmlformats.org/officeDocument/2006/relationships/image" Target="media/image6.png"/><Relationship Id="rId10" Type="http://schemas.openxmlformats.org/officeDocument/2006/relationships/hyperlink" Target="consultantplus://offline/ref=8DAA0A6D0B0CD65E811EB1CA5A7DEF95C4D2BB39D5976239C136CC501C9E6DA2E044486B489A8F8723D359B66E93E5CBA90F3AD1FB9AD50BI065G" TargetMode="External"/><Relationship Id="rId19" Type="http://schemas.openxmlformats.org/officeDocument/2006/relationships/hyperlink" Target="consultantplus://offline/ref=8DAA0A6D0B0CD65E811EB8D35D7DEF95C0D9BD31DA966239C136CC501C9E6DA2F24410674C90978722C60FE728IC64G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8DAA0A6D0B0CD65E811EB1CA5A7DEF95C4D2BB39D5976239C136CC501C9E6DA2F24410674C90978722C60FE728IC64G" TargetMode="External"/><Relationship Id="rId14" Type="http://schemas.openxmlformats.org/officeDocument/2006/relationships/image" Target="media/image1.wmf"/><Relationship Id="rId22" Type="http://schemas.openxmlformats.org/officeDocument/2006/relationships/hyperlink" Target="consultantplus://offline/ref=8DAA0A6D0B0CD65E811EB8D35D7DEF95C0D7B938D4936239C136CC501C9E6DA2F24410674C90978722C60FE728IC6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8119</Words>
  <Characters>46280</Characters>
  <Application>Microsoft Office Word</Application>
  <DocSecurity>0</DocSecurity>
  <Lines>385</Lines>
  <Paragraphs>108</Paragraphs>
  <ScaleCrop>false</ScaleCrop>
  <Company/>
  <LinksUpToDate>false</LinksUpToDate>
  <CharactersWithSpaces>54291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Babanova</dc:creator>
  <cp:lastModifiedBy>Babanova</cp:lastModifiedBy>
  <cp:revision>1</cp:revision>
  <dcterms:created xsi:type="dcterms:W3CDTF">2022-01-18T06:58:00Z</dcterms:created>
  <dcterms:modified xsi:type="dcterms:W3CDTF">2022-01-18T06:58:00Z</dcterms:modified>
</cp:coreProperties>
</file>