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866" w:rsidRDefault="00D0286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D02866" w:rsidRDefault="00D02866">
      <w:pPr>
        <w:pStyle w:val="ConsPlusNormal"/>
        <w:jc w:val="both"/>
        <w:outlineLvl w:val="0"/>
      </w:pPr>
    </w:p>
    <w:p w:rsidR="00D02866" w:rsidRDefault="00D02866">
      <w:pPr>
        <w:pStyle w:val="ConsPlusTitle"/>
        <w:jc w:val="center"/>
        <w:outlineLvl w:val="0"/>
      </w:pPr>
      <w:r>
        <w:t>МИНИСТЕРСТВО ЗДРАВООХРАНЕНИЯ РОССИЙСКОЙ ФЕДЕРАЦИИ</w:t>
      </w:r>
    </w:p>
    <w:p w:rsidR="00D02866" w:rsidRDefault="00D02866">
      <w:pPr>
        <w:pStyle w:val="ConsPlusTitle"/>
        <w:jc w:val="both"/>
      </w:pPr>
    </w:p>
    <w:p w:rsidR="00D02866" w:rsidRDefault="00D02866">
      <w:pPr>
        <w:pStyle w:val="ConsPlusTitle"/>
        <w:jc w:val="center"/>
      </w:pPr>
      <w:r>
        <w:t>КЛИНИЧЕСКИЕ РЕКОМЕНДАЦИИ</w:t>
      </w:r>
    </w:p>
    <w:p w:rsidR="00D02866" w:rsidRDefault="00D02866">
      <w:pPr>
        <w:pStyle w:val="ConsPlusTitle"/>
        <w:jc w:val="both"/>
      </w:pPr>
    </w:p>
    <w:p w:rsidR="00D02866" w:rsidRDefault="00D02866">
      <w:pPr>
        <w:pStyle w:val="ConsPlusTitle"/>
        <w:jc w:val="center"/>
      </w:pPr>
      <w:r>
        <w:t>ГИПЕРТРОФИЧЕСКАЯ КАРДИОМИОПАТИЯ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ind w:firstLine="540"/>
        <w:jc w:val="both"/>
      </w:pPr>
      <w:r>
        <w:t xml:space="preserve">Кодирование по Международной статистической классификации болезней и проблем, связанных со здоровьем: </w:t>
      </w:r>
      <w:hyperlink r:id="rId5">
        <w:r>
          <w:rPr>
            <w:color w:val="0000FF"/>
          </w:rPr>
          <w:t>I42.1</w:t>
        </w:r>
      </w:hyperlink>
      <w:r>
        <w:t xml:space="preserve">, </w:t>
      </w:r>
      <w:hyperlink r:id="rId6">
        <w:r>
          <w:rPr>
            <w:color w:val="0000FF"/>
          </w:rPr>
          <w:t>I42.2</w:t>
        </w:r>
      </w:hyperlink>
    </w:p>
    <w:p w:rsidR="00D02866" w:rsidRDefault="00D02866">
      <w:pPr>
        <w:pStyle w:val="ConsPlusNormal"/>
        <w:spacing w:before="220"/>
        <w:ind w:firstLine="540"/>
        <w:jc w:val="both"/>
      </w:pPr>
      <w:r>
        <w:t>Год утверждения (частота пересмотра): 2020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Возрастная категория: Взрослые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Пересмотр не позднее: 2022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ID: 283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Разработчик клинической рекомендации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Общероссийская общественная организация "Российское кардиологическое общество"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Ассоциация сердечно-сосудистых хирургов России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Одобрено Научно-практическим Советом Минздрава РФ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Ключевые слова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Список сокращений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АВ - атриовентрикулярный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АВБ - атриовентрикулярная блокада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АГ - артериальная гипертензия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АД - артериальное давление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АТФ - аденозинтрифосфорная кислота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АКФ - ангиотензин-конвертирующий фермент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БЛНПГ - блокада левой ножки пучка Гиса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БПНПГ - блокада правой ножки пучка Гиса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ВСС - внезапная сердечная смерть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ВТЛЖ - выходной тракт левого желудочка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ГКМП - гипертрофическая кардиомиопатия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ГЛЖ - гипертрофия левого желудочка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ГД - градиент давления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ДНК - дезоксирибонуклеиновая кислота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ДЭКС - двухкамерный имплантируемый электрокардиостимулятор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ЖНР - желудочковые нарушения ритма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ЖТ - желудочковая тахикардия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ЗСЛЖ - задняя стенка левого желудочка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ИКД - имплантируемый кардиовертер-дефибриллятор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ИМБОКА - инфаркт миокарда без обструкции коронарных артерий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КАГ - коронароангиография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КДД - конечно-диастолическое давление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КДО - конечно-диастолический объем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КТ/МСКТ - компьютерная томография/мультиспиральная компьютерная томография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ЛЖ - левый желудочек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ЛП - левое предсердие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МЖП - межжелудочковая перегородка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МК - митральный клапан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МНУП - мозговой натрийуретический пептид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МР - митральная регургитация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МРТ - магнитно-резонансная томография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НУЖТ - неустойчивая желудочковая тахикардия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ОГКМП - обструктивная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ПНГ - позднее накопление гадолиния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ПСД - переднее систолическое движение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РМЭ - расширенная миоэктомия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САА - септальная алкогольная аблация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СМЭ - септальная миоэктомия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ТТ-ЭХОКГ - трансторакальная эхокардиография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УО - ударный объем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ФВЛЖ - фракция выброса левого желудочка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ФК - функциональный класс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ФЖ - фибрилляция желудочков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ФП - фибрилляция предсердий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ХМЭКГ - холтеровское мониторирование ЭКГ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ХСН - хроническая сердечная недостаточность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ЧП-ЭХОКГ - чреспищеводная эхокардиография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ЧСС - частота сердечных сокращений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ЭКГ - электрокардиография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ЭКС - электрокардиостимулятор, электрокардиостимуляция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ЭХОКГ - эхокардиография</w:t>
      </w:r>
    </w:p>
    <w:p w:rsidR="00D02866" w:rsidRPr="00D02866" w:rsidRDefault="00D02866">
      <w:pPr>
        <w:pStyle w:val="ConsPlusNormal"/>
        <w:spacing w:before="220"/>
        <w:ind w:firstLine="540"/>
        <w:jc w:val="both"/>
        <w:rPr>
          <w:lang w:val="en-US"/>
        </w:rPr>
      </w:pPr>
      <w:r w:rsidRPr="00D02866">
        <w:rPr>
          <w:lang w:val="en-US"/>
        </w:rPr>
        <w:t>INOCA - ischemia with non-obstructive coronary arteries (</w:t>
      </w:r>
      <w:r>
        <w:t>ишемия</w:t>
      </w:r>
      <w:r w:rsidRPr="00D02866">
        <w:rPr>
          <w:lang w:val="en-US"/>
        </w:rPr>
        <w:t xml:space="preserve"> </w:t>
      </w:r>
      <w:r>
        <w:t>без</w:t>
      </w:r>
      <w:r w:rsidRPr="00D02866">
        <w:rPr>
          <w:lang w:val="en-US"/>
        </w:rPr>
        <w:t xml:space="preserve"> </w:t>
      </w:r>
      <w:r>
        <w:t>обструкции</w:t>
      </w:r>
      <w:r w:rsidRPr="00D02866">
        <w:rPr>
          <w:lang w:val="en-US"/>
        </w:rPr>
        <w:t xml:space="preserve"> </w:t>
      </w:r>
      <w:r>
        <w:t>коронарных</w:t>
      </w:r>
      <w:r w:rsidRPr="00D02866">
        <w:rPr>
          <w:lang w:val="en-US"/>
        </w:rPr>
        <w:t xml:space="preserve"> </w:t>
      </w:r>
      <w:r>
        <w:t>артерий</w:t>
      </w:r>
      <w:r w:rsidRPr="00D02866">
        <w:rPr>
          <w:lang w:val="en-US"/>
        </w:rP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LAMP2 - ген лизосом-2-ассоциированного мембранного белка 2</w:t>
      </w:r>
    </w:p>
    <w:p w:rsidR="00D02866" w:rsidRPr="00D02866" w:rsidRDefault="00D02866">
      <w:pPr>
        <w:pStyle w:val="ConsPlusNormal"/>
        <w:spacing w:before="220"/>
        <w:ind w:firstLine="540"/>
        <w:jc w:val="both"/>
        <w:rPr>
          <w:lang w:val="en-US"/>
        </w:rPr>
      </w:pPr>
      <w:r w:rsidRPr="00D02866">
        <w:rPr>
          <w:lang w:val="en-US"/>
        </w:rPr>
        <w:t>MINOCA - myocardial infarction with non-obstructive coronary arteries (</w:t>
      </w:r>
      <w:r>
        <w:t>инфаркт</w:t>
      </w:r>
      <w:r w:rsidRPr="00D02866">
        <w:rPr>
          <w:lang w:val="en-US"/>
        </w:rPr>
        <w:t xml:space="preserve"> </w:t>
      </w:r>
      <w:r>
        <w:t>миокарда</w:t>
      </w:r>
      <w:r w:rsidRPr="00D02866">
        <w:rPr>
          <w:lang w:val="en-US"/>
        </w:rPr>
        <w:t xml:space="preserve"> </w:t>
      </w:r>
      <w:r>
        <w:t>без</w:t>
      </w:r>
      <w:r w:rsidRPr="00D02866">
        <w:rPr>
          <w:lang w:val="en-US"/>
        </w:rPr>
        <w:t xml:space="preserve"> </w:t>
      </w:r>
      <w:r>
        <w:t>обструкции</w:t>
      </w:r>
      <w:r w:rsidRPr="00D02866">
        <w:rPr>
          <w:lang w:val="en-US"/>
        </w:rPr>
        <w:t xml:space="preserve"> </w:t>
      </w:r>
      <w:r>
        <w:t>коронарных</w:t>
      </w:r>
      <w:r w:rsidRPr="00D02866">
        <w:rPr>
          <w:lang w:val="en-US"/>
        </w:rPr>
        <w:t xml:space="preserve"> </w:t>
      </w:r>
      <w:r>
        <w:t>артерий</w:t>
      </w:r>
      <w:r w:rsidRPr="00D02866">
        <w:rPr>
          <w:lang w:val="en-US"/>
        </w:rP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Nt-proBNP - N-концевой фрагмент предшественника МНУП</w:t>
      </w:r>
    </w:p>
    <w:p w:rsidR="00D02866" w:rsidRPr="00D02866" w:rsidRDefault="00D02866">
      <w:pPr>
        <w:pStyle w:val="ConsPlusNormal"/>
        <w:spacing w:before="220"/>
        <w:ind w:firstLine="540"/>
        <w:jc w:val="both"/>
        <w:rPr>
          <w:lang w:val="en-US"/>
        </w:rPr>
      </w:pPr>
      <w:r w:rsidRPr="00D02866">
        <w:rPr>
          <w:lang w:val="en-US"/>
        </w:rPr>
        <w:t>AHA - American Heart Association (</w:t>
      </w:r>
      <w:r>
        <w:t>Американская</w:t>
      </w:r>
      <w:r w:rsidRPr="00D02866">
        <w:rPr>
          <w:lang w:val="en-US"/>
        </w:rPr>
        <w:t xml:space="preserve"> </w:t>
      </w:r>
      <w:r>
        <w:t>ассоциация</w:t>
      </w:r>
      <w:r w:rsidRPr="00D02866">
        <w:rPr>
          <w:lang w:val="en-US"/>
        </w:rPr>
        <w:t xml:space="preserve"> </w:t>
      </w:r>
      <w:r>
        <w:t>сердца</w:t>
      </w:r>
      <w:r w:rsidRPr="00D02866">
        <w:rPr>
          <w:lang w:val="en-US"/>
        </w:rPr>
        <w:t>)</w:t>
      </w:r>
    </w:p>
    <w:p w:rsidR="00D02866" w:rsidRPr="00D02866" w:rsidRDefault="00D02866">
      <w:pPr>
        <w:pStyle w:val="ConsPlusNormal"/>
        <w:spacing w:before="220"/>
        <w:ind w:firstLine="540"/>
        <w:jc w:val="both"/>
        <w:rPr>
          <w:lang w:val="en-US"/>
        </w:rPr>
      </w:pPr>
      <w:r w:rsidRPr="00D02866">
        <w:rPr>
          <w:lang w:val="en-US"/>
        </w:rPr>
        <w:t>ACC - American College of Cardiology (</w:t>
      </w:r>
      <w:r>
        <w:t>Американская</w:t>
      </w:r>
      <w:r w:rsidRPr="00D02866">
        <w:rPr>
          <w:lang w:val="en-US"/>
        </w:rPr>
        <w:t xml:space="preserve"> </w:t>
      </w:r>
      <w:r>
        <w:t>коллегия</w:t>
      </w:r>
      <w:r w:rsidRPr="00D02866">
        <w:rPr>
          <w:lang w:val="en-US"/>
        </w:rPr>
        <w:t xml:space="preserve"> </w:t>
      </w:r>
      <w:r>
        <w:t>кардиологов</w:t>
      </w:r>
      <w:r w:rsidRPr="00D02866">
        <w:rPr>
          <w:lang w:val="en-US"/>
        </w:rPr>
        <w:t>)</w:t>
      </w:r>
    </w:p>
    <w:p w:rsidR="00D02866" w:rsidRPr="00D02866" w:rsidRDefault="00D02866">
      <w:pPr>
        <w:pStyle w:val="ConsPlusNormal"/>
        <w:spacing w:before="220"/>
        <w:ind w:firstLine="540"/>
        <w:jc w:val="both"/>
        <w:rPr>
          <w:lang w:val="en-US"/>
        </w:rPr>
      </w:pPr>
      <w:r w:rsidRPr="00D02866">
        <w:rPr>
          <w:lang w:val="en-US"/>
        </w:rPr>
        <w:t xml:space="preserve">ATTR - </w:t>
      </w:r>
      <w:r>
        <w:t>транстиретиновый</w:t>
      </w:r>
      <w:r w:rsidRPr="00D02866">
        <w:rPr>
          <w:lang w:val="en-US"/>
        </w:rPr>
        <w:t xml:space="preserve"> </w:t>
      </w:r>
      <w:r>
        <w:t>амилоидоз</w:t>
      </w:r>
    </w:p>
    <w:p w:rsidR="00D02866" w:rsidRPr="00D02866" w:rsidRDefault="00D02866">
      <w:pPr>
        <w:pStyle w:val="ConsPlusNormal"/>
        <w:spacing w:before="220"/>
        <w:ind w:firstLine="540"/>
        <w:jc w:val="both"/>
        <w:rPr>
          <w:lang w:val="en-US"/>
        </w:rPr>
      </w:pPr>
      <w:r w:rsidRPr="00D02866">
        <w:rPr>
          <w:lang w:val="en-US"/>
        </w:rPr>
        <w:t>EACVI - European Association of Cardiovascular Imaging (</w:t>
      </w:r>
      <w:r>
        <w:t>Европейская</w:t>
      </w:r>
      <w:r w:rsidRPr="00D02866">
        <w:rPr>
          <w:lang w:val="en-US"/>
        </w:rPr>
        <w:t xml:space="preserve"> </w:t>
      </w:r>
      <w:r>
        <w:t>ассоциация</w:t>
      </w:r>
      <w:r w:rsidRPr="00D02866">
        <w:rPr>
          <w:lang w:val="en-US"/>
        </w:rPr>
        <w:t xml:space="preserve"> </w:t>
      </w:r>
      <w:r>
        <w:t>по</w:t>
      </w:r>
      <w:r w:rsidRPr="00D02866">
        <w:rPr>
          <w:lang w:val="en-US"/>
        </w:rPr>
        <w:t xml:space="preserve"> </w:t>
      </w:r>
      <w:r>
        <w:t>сердечно</w:t>
      </w:r>
      <w:r w:rsidRPr="00D02866">
        <w:rPr>
          <w:lang w:val="en-US"/>
        </w:rPr>
        <w:t>-</w:t>
      </w:r>
      <w:r>
        <w:t>сосудистой</w:t>
      </w:r>
      <w:r w:rsidRPr="00D02866">
        <w:rPr>
          <w:lang w:val="en-US"/>
        </w:rPr>
        <w:t xml:space="preserve"> </w:t>
      </w:r>
      <w:r>
        <w:t>визуализации</w:t>
      </w:r>
      <w:r w:rsidRPr="00D02866">
        <w:rPr>
          <w:lang w:val="en-US"/>
        </w:rPr>
        <w:t>)</w:t>
      </w:r>
    </w:p>
    <w:p w:rsidR="00D02866" w:rsidRPr="00D02866" w:rsidRDefault="00D02866">
      <w:pPr>
        <w:pStyle w:val="ConsPlusNormal"/>
        <w:spacing w:before="220"/>
        <w:ind w:firstLine="540"/>
        <w:jc w:val="both"/>
        <w:rPr>
          <w:lang w:val="en-US"/>
        </w:rPr>
      </w:pPr>
      <w:r w:rsidRPr="00D02866">
        <w:rPr>
          <w:lang w:val="en-US"/>
        </w:rPr>
        <w:t>ESC - European Society of Cardiology (</w:t>
      </w:r>
      <w:r>
        <w:t>Европейское</w:t>
      </w:r>
      <w:r w:rsidRPr="00D02866">
        <w:rPr>
          <w:lang w:val="en-US"/>
        </w:rPr>
        <w:t xml:space="preserve"> </w:t>
      </w:r>
      <w:r>
        <w:t>общество</w:t>
      </w:r>
      <w:r w:rsidRPr="00D02866">
        <w:rPr>
          <w:lang w:val="en-US"/>
        </w:rPr>
        <w:t xml:space="preserve"> </w:t>
      </w:r>
      <w:r>
        <w:t>кардиологов</w:t>
      </w:r>
      <w:r w:rsidRPr="00D02866">
        <w:rPr>
          <w:lang w:val="en-US"/>
        </w:rPr>
        <w:t>)</w:t>
      </w:r>
    </w:p>
    <w:p w:rsidR="00D02866" w:rsidRPr="00D02866" w:rsidRDefault="00D02866">
      <w:pPr>
        <w:pStyle w:val="ConsPlusNormal"/>
        <w:spacing w:before="220"/>
        <w:ind w:firstLine="540"/>
        <w:jc w:val="both"/>
        <w:rPr>
          <w:lang w:val="en-US"/>
        </w:rPr>
      </w:pPr>
      <w:r w:rsidRPr="00D02866">
        <w:rPr>
          <w:lang w:val="en-US"/>
        </w:rPr>
        <w:t xml:space="preserve">HCM Risk-SCD - </w:t>
      </w:r>
      <w:r>
        <w:t>шкала</w:t>
      </w:r>
      <w:r w:rsidRPr="00D02866">
        <w:rPr>
          <w:lang w:val="en-US"/>
        </w:rPr>
        <w:t xml:space="preserve"> </w:t>
      </w:r>
      <w:r>
        <w:t>риска</w:t>
      </w:r>
      <w:r w:rsidRPr="00D02866">
        <w:rPr>
          <w:lang w:val="en-US"/>
        </w:rPr>
        <w:t xml:space="preserve"> </w:t>
      </w:r>
      <w:r>
        <w:t>ВСС</w:t>
      </w:r>
      <w:r w:rsidRPr="00D02866">
        <w:rPr>
          <w:lang w:val="en-US"/>
        </w:rPr>
        <w:t xml:space="preserve"> </w:t>
      </w:r>
      <w:r>
        <w:t>при</w:t>
      </w:r>
      <w:r w:rsidRPr="00D02866">
        <w:rPr>
          <w:lang w:val="en-US"/>
        </w:rPr>
        <w:t xml:space="preserve"> </w:t>
      </w:r>
      <w:r>
        <w:t>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MOGE'S - классификация кардиомиопатий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NYHA - Нью-Йоркская ассоциация кардиологов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Термины и определения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Гипертрофическая кардиомиопатия (ГКМП) - генетически обусловленное заболевание миокарда, характеризующееся гипертрофией миокарда левого (более 1,5 см) и/или правого желудочка, чаще асимметрического характера за счет утолщения межжелудочковой перегородки, что не может объясняться исключительно повышением нагрузки давлением, и возникающее при отсутствии другого сердечного или системного заболевания, метаболического или полиорганного синдрома, связанного с ГЛЖ.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Обструктивная гипертрофическая кардиомиопатия (ОГКМП) - форма ГКМП, сопровождающаяся нарушением внутрисердечной гемодинамики в виде препятствия систолическому изгнанию из ЛЖ и/или правого желудочка (ПЖ), что приводит к увеличению градиента давления (ГД) в выходном тракте левого и/или ПЖ желудочка (ВТЛЖ; ВТПЖ).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ГЛЖ вторичного генеза - универсальная компенсаторно-приспособительная реакция в ответ </w:t>
      </w:r>
      <w:r>
        <w:lastRenderedPageBreak/>
        <w:t>на известный гемодинамический или другой фактор.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Догипертрофическая стадия ГКМП - этап в развитии заболевания, при котором отсутствуют признаки гипертрофии миокарда, определяемые с помощью визуализирующих методик.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Субклиническая стадия ГКМП - этап в развитии заболевания, при котором нет клинической симптоматики, характерной для ГКМП.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Генотип (+)/фенотип (-) - носители патологической мутации, ассоциированной с ГКМП, догипертрофической и субклинической стадиями ГКМП.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Возрастзависимая пенетрантность - увеличение частоты выявления фенотипических признаков ГКМП, определяемых с помощью рутинных методов (ЭКГ, ЭХОКГ), среди носителей патогенных генетических вариантов по мере повышения возраста.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Внезапная сердечная смерть (ВСС) - ненасильственная, обусловленная заболеваниями сердца смерть, манифестирующая внезапной потерей сознания в течение первого часа с момента появления острых симптомов.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Стратификация риска ВСС - определение независимых предикторов, определяющих вероятность риска ВСС у пациентов с определенной сердечно-сосудистой патологией. Шкала риска ВСС при ГКМП (HCM Risk-SCD) рекомендуется в качестве метода оценки риска ВСС.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Передне-систолическое движение створок митрального клапана - движение створок МК в систолу к МЖП вплоть до касания (митрально-септальный контакт), участвующее в создании обструкции ВТЛЖ. Англоязычный термин - systolic anterior motion syndrome (SAM-syndrome).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Базальная обструкция (обструкция в ВТЛЖ) - препятствие на уровне ВТЛЖ систолическому изгнанию из 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Среднежелудочковая обструкция - препятствие систолическому кровотоку в средней части полости ЛЖ, на уровне срединных сегментов 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"Классический фенотип" ГКМП - морфофункциональный фенотип ГКМП, при котором сочетаются асимметричная ГЛЖ (гипертрофия МЖП), уменьшенный размер полости ЛЖ и обструкция ВТЛЖ.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Латентная обструкция - гемодинамическая форма обструктивной ГКМП, при которой препятствие систолическому изгнанию из ЛЖ возникает только при нагрузке или провокационных пробах.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Негативное ремоделирование (англ. adverse remodeling) - финальная стадия адаптивных и дезадаптивных изменений в пораженном органе. При этом наблюдаются "смешанные" морфофункциональные фенотипы - гипертрофический + дилатационный, гипертрофический + рестриктивный, и, как правило, уменьшение степени гипертрофии.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Расширенная миоэктомия - операция, включающая резекцию МЖП в большем объеме, чем при септальной миоэктомии по A.Morrow, мобилизацию и резекцию гипертрофированных папиллярных мышц и гипертрофированных мышечных трабекул (апикально-базального мышечного пучка).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Редукция МЖП - хирургическое (СМЭ, РМЭ) или эндоваскулярное (САА) воздействие по уменьшению толщины МЖП.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Секвенирование нового поколения расшифровка структуры десятков и сотен генов определяемая одномоментно.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Септальная миоэктомия - операция резекции миокарда в базальных сегментах МЖП.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Уровень достоверности доказательств (УДД) - степень уверенности в том, что найденный эффект от применения медицинского вмешательства является истинным.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Уровень убедительности рекомендаций (УУР) - степень уверенности в достоверности эффекта вмешательства и в том, что следование рекомендациям принесет больше пользы, чем вреда в конкретной ситуации.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Фенокопия ГКМП - заболевание с известным этиопатогенезом, фенотипически похожее на ГКМП.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Феномен "disarray" - беспорядочное расположение кардиомиоцитов и мышечных волокон.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1. Краткая информация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1.1 Определение заболевания или состояния (группы заболеваний или состояний)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Гипертрофическая кардиомиопатия (ГКМП) - генетически обусловленное заболевание миокарда, характеризующееся гипертрофией миокарда левого (более 1,5 см) и/или правого желудочка, чаще асимметрического характера за счет утолщения межжелудочковой перегородки, что не может объясняться исключительно повышением нагрузки давлением, и возникающее при отсутствии другого сердечного или системного заболевания, метаболического или полиорганного синдрома, связанного с ГЛЖ.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1.2 Этиология и патогенез заболевания или состояния (группы заболеваний или состояний)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Этиология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ГКМП является генетически обусловленной патологией; идентифицированы более 20 причинных генов, связанных с развитием ГКМП. Генетический скрининг 8 наиболее частых причинных генов, кодирующих различные белки кардиомиоцитов, дает возможность определить причину заболевания примерно в 60% случаев [</w:t>
      </w:r>
      <w:hyperlink w:anchor="P1035">
        <w:r>
          <w:rPr>
            <w:color w:val="0000FF"/>
          </w:rPr>
          <w:t>1</w:t>
        </w:r>
      </w:hyperlink>
      <w:r>
        <w:t xml:space="preserve">, </w:t>
      </w:r>
      <w:hyperlink w:anchor="P1036">
        <w:r>
          <w:rPr>
            <w:color w:val="0000FF"/>
          </w:rPr>
          <w:t>2</w:t>
        </w:r>
      </w:hyperlink>
      <w:r>
        <w:t xml:space="preserve">, 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39">
        <w:r>
          <w:rPr>
            <w:color w:val="0000FF"/>
          </w:rPr>
          <w:t>5</w:t>
        </w:r>
      </w:hyperlink>
      <w:r>
        <w:t xml:space="preserve">, </w:t>
      </w:r>
      <w:hyperlink w:anchor="P1040">
        <w:r>
          <w:rPr>
            <w:color w:val="0000FF"/>
          </w:rPr>
          <w:t>6</w:t>
        </w:r>
      </w:hyperlink>
      <w:r>
        <w:t xml:space="preserve">, </w:t>
      </w:r>
      <w:hyperlink w:anchor="P1041">
        <w:r>
          <w:rPr>
            <w:color w:val="0000FF"/>
          </w:rPr>
          <w:t>7</w:t>
        </w:r>
      </w:hyperlink>
      <w:r>
        <w:t xml:space="preserve">, </w:t>
      </w:r>
      <w:hyperlink w:anchor="P1042">
        <w:r>
          <w:rPr>
            <w:color w:val="0000FF"/>
          </w:rPr>
          <w:t>8</w:t>
        </w:r>
      </w:hyperlink>
      <w:r>
        <w:t xml:space="preserve">, </w:t>
      </w:r>
      <w:hyperlink w:anchor="P1043">
        <w:r>
          <w:rPr>
            <w:color w:val="0000FF"/>
          </w:rPr>
          <w:t>9</w:t>
        </w:r>
      </w:hyperlink>
      <w:r>
        <w:t xml:space="preserve">, </w:t>
      </w:r>
      <w:hyperlink w:anchor="P1044">
        <w:r>
          <w:rPr>
            <w:color w:val="0000FF"/>
          </w:rPr>
          <w:t>10</w:t>
        </w:r>
      </w:hyperlink>
      <w:r>
        <w:t xml:space="preserve">, </w:t>
      </w:r>
      <w:hyperlink w:anchor="P1045">
        <w:r>
          <w:rPr>
            <w:color w:val="0000FF"/>
          </w:rPr>
          <w:t>11</w:t>
        </w:r>
      </w:hyperlink>
      <w:r>
        <w:t xml:space="preserve">, </w:t>
      </w:r>
      <w:hyperlink w:anchor="P1046">
        <w:r>
          <w:rPr>
            <w:color w:val="0000FF"/>
          </w:rPr>
          <w:t>12</w:t>
        </w:r>
      </w:hyperlink>
      <w:r>
        <w:t xml:space="preserve">, </w:t>
      </w:r>
      <w:hyperlink w:anchor="P1047">
        <w:r>
          <w:rPr>
            <w:color w:val="0000FF"/>
          </w:rPr>
          <w:t>13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основе развития ГКМП наиболее часто лежат патогенные варианты в генах, кодирующих сократительные белки саркомера - миозин (MYH7), миозинсвязывающий белок C (MYBPC3), актин (ACTC), тропонин (TNNI3, TNNT2, TNNC) [</w:t>
      </w:r>
      <w:hyperlink w:anchor="P1036">
        <w:r>
          <w:rPr>
            <w:color w:val="0000FF"/>
          </w:rPr>
          <w:t>2</w:t>
        </w:r>
      </w:hyperlink>
      <w:r>
        <w:t xml:space="preserve">, 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39">
        <w:r>
          <w:rPr>
            <w:color w:val="0000FF"/>
          </w:rPr>
          <w:t>5</w:t>
        </w:r>
      </w:hyperlink>
      <w:r>
        <w:t xml:space="preserve">, </w:t>
      </w:r>
      <w:hyperlink w:anchor="P1040">
        <w:r>
          <w:rPr>
            <w:color w:val="0000FF"/>
          </w:rPr>
          <w:t>6</w:t>
        </w:r>
      </w:hyperlink>
      <w:r>
        <w:t xml:space="preserve">, </w:t>
      </w:r>
      <w:hyperlink w:anchor="P1041">
        <w:r>
          <w:rPr>
            <w:color w:val="0000FF"/>
          </w:rPr>
          <w:t>7</w:t>
        </w:r>
      </w:hyperlink>
      <w:r>
        <w:t xml:space="preserve">, </w:t>
      </w:r>
      <w:hyperlink w:anchor="P1042">
        <w:r>
          <w:rPr>
            <w:color w:val="0000FF"/>
          </w:rPr>
          <w:t>8</w:t>
        </w:r>
      </w:hyperlink>
      <w:r>
        <w:t xml:space="preserve">, </w:t>
      </w:r>
      <w:hyperlink w:anchor="P1043">
        <w:r>
          <w:rPr>
            <w:color w:val="0000FF"/>
          </w:rPr>
          <w:t>9</w:t>
        </w:r>
      </w:hyperlink>
      <w:r>
        <w:t xml:space="preserve">, </w:t>
      </w:r>
      <w:hyperlink w:anchor="P1044">
        <w:r>
          <w:rPr>
            <w:color w:val="0000FF"/>
          </w:rPr>
          <w:t>10</w:t>
        </w:r>
      </w:hyperlink>
      <w:r>
        <w:t xml:space="preserve">, </w:t>
      </w:r>
      <w:hyperlink w:anchor="P1046">
        <w:r>
          <w:rPr>
            <w:color w:val="0000FF"/>
          </w:rPr>
          <w:t>12</w:t>
        </w:r>
      </w:hyperlink>
      <w:r>
        <w:t xml:space="preserve">, </w:t>
      </w:r>
      <w:hyperlink w:anchor="P1047">
        <w:r>
          <w:rPr>
            <w:color w:val="0000FF"/>
          </w:rPr>
          <w:t>13</w:t>
        </w:r>
      </w:hyperlink>
      <w:r>
        <w:t xml:space="preserve">, </w:t>
      </w:r>
      <w:hyperlink w:anchor="P1048">
        <w:r>
          <w:rPr>
            <w:color w:val="0000FF"/>
          </w:rPr>
          <w:t>14</w:t>
        </w:r>
      </w:hyperlink>
      <w:r>
        <w:t xml:space="preserve">, </w:t>
      </w:r>
      <w:hyperlink w:anchor="P1049">
        <w:r>
          <w:rPr>
            <w:color w:val="0000FF"/>
          </w:rPr>
          <w:t>15</w:t>
        </w:r>
      </w:hyperlink>
      <w:r>
        <w:t xml:space="preserve">, </w:t>
      </w:r>
      <w:hyperlink w:anchor="P1050">
        <w:r>
          <w:rPr>
            <w:color w:val="0000FF"/>
          </w:rPr>
          <w:t>16</w:t>
        </w:r>
      </w:hyperlink>
      <w:r>
        <w:t xml:space="preserve">, </w:t>
      </w:r>
      <w:hyperlink w:anchor="P1051">
        <w:r>
          <w:rPr>
            <w:color w:val="0000FF"/>
          </w:rPr>
          <w:t>17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 долю патогенных вариантов в генах MYH7 и MYBPC3 приходится около половины всех случаев развития ГКМП. Манифестация клинических проявлений при двух самых распространенных мутациях MYH и MYBP-C возможна в любом возрасте. Дебют заболевания в детском и подростковом возрасте, а также у молодых взрослых часто ассоциирован с семейной формой заболевания и более тяжелым течением [</w:t>
      </w:r>
      <w:hyperlink w:anchor="P1036">
        <w:r>
          <w:rPr>
            <w:color w:val="0000FF"/>
          </w:rPr>
          <w:t>2</w:t>
        </w:r>
      </w:hyperlink>
      <w:r>
        <w:t xml:space="preserve">, 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40">
        <w:r>
          <w:rPr>
            <w:color w:val="0000FF"/>
          </w:rPr>
          <w:t>6</w:t>
        </w:r>
      </w:hyperlink>
      <w:r>
        <w:t xml:space="preserve">, </w:t>
      </w:r>
      <w:hyperlink w:anchor="P1041">
        <w:r>
          <w:rPr>
            <w:color w:val="0000FF"/>
          </w:rPr>
          <w:t>7</w:t>
        </w:r>
      </w:hyperlink>
      <w:r>
        <w:t xml:space="preserve">, </w:t>
      </w:r>
      <w:hyperlink w:anchor="P1042">
        <w:r>
          <w:rPr>
            <w:color w:val="0000FF"/>
          </w:rPr>
          <w:t>8</w:t>
        </w:r>
      </w:hyperlink>
      <w:r>
        <w:t xml:space="preserve">, </w:t>
      </w:r>
      <w:hyperlink w:anchor="P1046">
        <w:r>
          <w:rPr>
            <w:color w:val="0000FF"/>
          </w:rPr>
          <w:t>12</w:t>
        </w:r>
      </w:hyperlink>
      <w:r>
        <w:t xml:space="preserve">, </w:t>
      </w:r>
      <w:hyperlink w:anchor="P1050">
        <w:r>
          <w:rPr>
            <w:color w:val="0000FF"/>
          </w:rPr>
          <w:t>16</w:t>
        </w:r>
      </w:hyperlink>
      <w:r>
        <w:t xml:space="preserve">, </w:t>
      </w:r>
      <w:hyperlink w:anchor="P1051">
        <w:r>
          <w:rPr>
            <w:color w:val="0000FF"/>
          </w:rPr>
          <w:t>17</w:t>
        </w:r>
      </w:hyperlink>
      <w:r>
        <w:t xml:space="preserve">, </w:t>
      </w:r>
      <w:hyperlink w:anchor="P1052">
        <w:r>
          <w:rPr>
            <w:color w:val="0000FF"/>
          </w:rPr>
          <w:t>18</w:t>
        </w:r>
      </w:hyperlink>
      <w:r>
        <w:t xml:space="preserve">, </w:t>
      </w:r>
      <w:hyperlink w:anchor="P1053">
        <w:r>
          <w:rPr>
            <w:color w:val="0000FF"/>
          </w:rPr>
          <w:t>19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Развитие ГКМП на фоне мутаций в гене TNNT2 ассоциировано с большим риском развития синдрома ВСС на фоне умеренного увеличения толщины МЖП и более низкими показателями массы миокарда ЛЖ [</w:t>
      </w:r>
      <w:hyperlink w:anchor="P1036">
        <w:r>
          <w:rPr>
            <w:color w:val="0000FF"/>
          </w:rPr>
          <w:t>2</w:t>
        </w:r>
      </w:hyperlink>
      <w:r>
        <w:t xml:space="preserve">, 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39">
        <w:r>
          <w:rPr>
            <w:color w:val="0000FF"/>
          </w:rPr>
          <w:t>5</w:t>
        </w:r>
      </w:hyperlink>
      <w:r>
        <w:t xml:space="preserve">, </w:t>
      </w:r>
      <w:hyperlink w:anchor="P1040">
        <w:r>
          <w:rPr>
            <w:color w:val="0000FF"/>
          </w:rPr>
          <w:t>6</w:t>
        </w:r>
      </w:hyperlink>
      <w:r>
        <w:t xml:space="preserve">, </w:t>
      </w:r>
      <w:hyperlink w:anchor="P1041">
        <w:r>
          <w:rPr>
            <w:color w:val="0000FF"/>
          </w:rPr>
          <w:t>7</w:t>
        </w:r>
      </w:hyperlink>
      <w:r>
        <w:t xml:space="preserve">, </w:t>
      </w:r>
      <w:hyperlink w:anchor="P1043">
        <w:r>
          <w:rPr>
            <w:color w:val="0000FF"/>
          </w:rPr>
          <w:t>9</w:t>
        </w:r>
      </w:hyperlink>
      <w:r>
        <w:t xml:space="preserve">, </w:t>
      </w:r>
      <w:hyperlink w:anchor="P1044">
        <w:r>
          <w:rPr>
            <w:color w:val="0000FF"/>
          </w:rPr>
          <w:t>10</w:t>
        </w:r>
      </w:hyperlink>
      <w:r>
        <w:t xml:space="preserve">, </w:t>
      </w:r>
      <w:hyperlink w:anchor="P1045">
        <w:r>
          <w:rPr>
            <w:color w:val="0000FF"/>
          </w:rPr>
          <w:t>11</w:t>
        </w:r>
      </w:hyperlink>
      <w:r>
        <w:t xml:space="preserve">, </w:t>
      </w:r>
      <w:hyperlink w:anchor="P1047">
        <w:r>
          <w:rPr>
            <w:color w:val="0000FF"/>
          </w:rPr>
          <w:t>13</w:t>
        </w:r>
      </w:hyperlink>
      <w:r>
        <w:t xml:space="preserve">, </w:t>
      </w:r>
      <w:hyperlink w:anchor="P1049">
        <w:r>
          <w:rPr>
            <w:color w:val="0000FF"/>
          </w:rPr>
          <w:t>15</w:t>
        </w:r>
      </w:hyperlink>
      <w:r>
        <w:t xml:space="preserve">, </w:t>
      </w:r>
      <w:hyperlink w:anchor="P1050">
        <w:r>
          <w:rPr>
            <w:color w:val="0000FF"/>
          </w:rPr>
          <w:t>16</w:t>
        </w:r>
      </w:hyperlink>
      <w:r>
        <w:t xml:space="preserve">, </w:t>
      </w:r>
      <w:hyperlink w:anchor="P1054">
        <w:r>
          <w:rPr>
            <w:color w:val="0000FF"/>
          </w:rPr>
          <w:t>20</w:t>
        </w:r>
      </w:hyperlink>
      <w:r>
        <w:t xml:space="preserve">, </w:t>
      </w:r>
      <w:hyperlink w:anchor="P1055">
        <w:r>
          <w:rPr>
            <w:color w:val="0000FF"/>
          </w:rPr>
          <w:t>21</w:t>
        </w:r>
      </w:hyperlink>
      <w:r>
        <w:t xml:space="preserve">, </w:t>
      </w:r>
      <w:hyperlink w:anchor="P1056">
        <w:r>
          <w:rPr>
            <w:color w:val="0000FF"/>
          </w:rPr>
          <w:t>22</w:t>
        </w:r>
      </w:hyperlink>
      <w:r>
        <w:t xml:space="preserve">, </w:t>
      </w:r>
      <w:hyperlink w:anchor="P1057">
        <w:r>
          <w:rPr>
            <w:color w:val="0000FF"/>
          </w:rPr>
          <w:t>23</w:t>
        </w:r>
      </w:hyperlink>
      <w:r>
        <w:t xml:space="preserve">, </w:t>
      </w:r>
      <w:hyperlink w:anchor="P1058">
        <w:r>
          <w:rPr>
            <w:color w:val="0000FF"/>
          </w:rPr>
          <w:t>24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большинстве случаев патогенные варианты, ассоциированные с ГКМП, представляют собой уникальные замены, описанные однократно или всего для нескольких случаев; частота каждой такой замены среди всех генетических причин ГКМП не превышает 1% [</w:t>
      </w:r>
      <w:hyperlink w:anchor="P1039">
        <w:r>
          <w:rPr>
            <w:color w:val="0000FF"/>
          </w:rPr>
          <w:t>5</w:t>
        </w:r>
      </w:hyperlink>
      <w:r>
        <w:t xml:space="preserve">, </w:t>
      </w:r>
      <w:hyperlink w:anchor="P1059">
        <w:r>
          <w:rPr>
            <w:color w:val="0000FF"/>
          </w:rPr>
          <w:t>25</w:t>
        </w:r>
      </w:hyperlink>
      <w:r>
        <w:t xml:space="preserve">, </w:t>
      </w:r>
      <w:hyperlink w:anchor="P1060">
        <w:r>
          <w:rPr>
            <w:color w:val="0000FF"/>
          </w:rPr>
          <w:t>26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ряде случаев (5 - 7%) заболевание может развиваться на фоне 2, 3 и более патогенных вариантов. Часто встречаются комбинации мутаций в генах, кодирующих саркомерные белки. В этом случае заболевание характеризуется более ранним дебютом (часто в детском возрасте), большей степенью гипертрофии МЖП и более высоким риском развития синдрома ВСС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41">
        <w:r>
          <w:rPr>
            <w:color w:val="0000FF"/>
          </w:rPr>
          <w:t>7</w:t>
        </w:r>
      </w:hyperlink>
      <w:r>
        <w:t xml:space="preserve">, </w:t>
      </w:r>
      <w:hyperlink w:anchor="P1050">
        <w:r>
          <w:rPr>
            <w:color w:val="0000FF"/>
          </w:rPr>
          <w:t>16</w:t>
        </w:r>
      </w:hyperlink>
      <w:r>
        <w:t xml:space="preserve">, </w:t>
      </w:r>
      <w:hyperlink w:anchor="P1057">
        <w:r>
          <w:rPr>
            <w:color w:val="0000FF"/>
          </w:rPr>
          <w:t>23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062">
        <w:r>
          <w:rPr>
            <w:color w:val="0000FF"/>
          </w:rPr>
          <w:t>28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Развитие ГКМП на фоне патогенных вариантов в генах цитоскелета часто ассоциировано с сочетанными пороками сердца (ДМПП, ДМЖП), а также признаками некомпактного миокарда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63">
        <w:r>
          <w:rPr>
            <w:color w:val="0000FF"/>
          </w:rPr>
          <w:t>29</w:t>
        </w:r>
      </w:hyperlink>
      <w:r>
        <w:t xml:space="preserve">, </w:t>
      </w:r>
      <w:hyperlink w:anchor="P1064">
        <w:r>
          <w:rPr>
            <w:color w:val="0000FF"/>
          </w:rPr>
          <w:t>30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Патогенные варианты в генах, кодирующих белки цитоскелета, ионных каналов, структуру Z-дисков и другие внутриклеточные структуры, определяют развитие ГКМП в 15 - 20%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53">
        <w:r>
          <w:rPr>
            <w:color w:val="0000FF"/>
          </w:rPr>
          <w:t>19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063">
        <w:r>
          <w:rPr>
            <w:color w:val="0000FF"/>
          </w:rPr>
          <w:t>29</w:t>
        </w:r>
      </w:hyperlink>
      <w:r>
        <w:t xml:space="preserve">, </w:t>
      </w:r>
      <w:hyperlink w:anchor="P1064">
        <w:r>
          <w:rPr>
            <w:color w:val="0000FF"/>
          </w:rPr>
          <w:t>30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Молекулярный патогенез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основе молекулярного патогенеза ГКМП, ассоциированной с патогенными вариантами в генах, кодирующих белки саркомера, часто лежит нарушение кальциевого гомеостаза, повышение чувствительности миофиламентов к ионам кальция. Это проявляется в усилении силы сокращения саркомера в систолу, снижении степени его расслабления в диастолу на фоне повышенных потребностей кардиомиоцита в АТФ, что влечет нарушение внутриклеточных сигнальных процессов и реактивацию компенсаторных эмбриональных программ гипертрофического роста [</w:t>
      </w:r>
      <w:hyperlink w:anchor="P1050">
        <w:r>
          <w:rPr>
            <w:color w:val="0000FF"/>
          </w:rPr>
          <w:t>16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 уровне кардиомиоцитов данные процессы приводят к повышению синтеза эмбриональных форм саркомерных белков и активации киназных сигнальных каскадов, обеспечивающих процессы собственно гипертрофии КМЦ, пролиферации фибробластов, трансформации фибробластов в миофибробласты и дисбаланс в системе коллагенолиза [</w:t>
      </w:r>
      <w:hyperlink w:anchor="P1050">
        <w:r>
          <w:rPr>
            <w:color w:val="0000FF"/>
          </w:rPr>
          <w:t>16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066">
        <w:r>
          <w:rPr>
            <w:color w:val="0000FF"/>
          </w:rPr>
          <w:t>32</w:t>
        </w:r>
      </w:hyperlink>
      <w:r>
        <w:t xml:space="preserve">, </w:t>
      </w:r>
      <w:hyperlink w:anchor="P1067">
        <w:r>
          <w:rPr>
            <w:color w:val="0000FF"/>
          </w:rPr>
          <w:t>33</w:t>
        </w:r>
      </w:hyperlink>
      <w:r>
        <w:t xml:space="preserve">, </w:t>
      </w:r>
      <w:hyperlink w:anchor="P1068">
        <w:r>
          <w:rPr>
            <w:color w:val="0000FF"/>
          </w:rPr>
          <w:t>34</w:t>
        </w:r>
      </w:hyperlink>
      <w:r>
        <w:t xml:space="preserve">, </w:t>
      </w:r>
      <w:hyperlink w:anchor="P1069">
        <w:r>
          <w:rPr>
            <w:color w:val="0000FF"/>
          </w:rPr>
          <w:t>35</w:t>
        </w:r>
      </w:hyperlink>
      <w:r>
        <w:t xml:space="preserve">, </w:t>
      </w:r>
      <w:hyperlink w:anchor="P1070">
        <w:r>
          <w:rPr>
            <w:color w:val="0000FF"/>
          </w:rPr>
          <w:t>36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 гистологическом уровне отражением прямого действия "причинного" генетического варианта и молекулярного патогенеза является дискомплексация кардиомицитов и мышечных волокон - феномен "disarray", фиброз разной степени выраженности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50">
        <w:r>
          <w:rPr>
            <w:color w:val="0000FF"/>
          </w:rPr>
          <w:t>16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066">
        <w:r>
          <w:rPr>
            <w:color w:val="0000FF"/>
          </w:rPr>
          <w:t>32</w:t>
        </w:r>
      </w:hyperlink>
      <w:r>
        <w:t xml:space="preserve">, </w:t>
      </w:r>
      <w:hyperlink w:anchor="P1067">
        <w:r>
          <w:rPr>
            <w:color w:val="0000FF"/>
          </w:rPr>
          <w:t>33</w:t>
        </w:r>
      </w:hyperlink>
      <w:r>
        <w:t xml:space="preserve">, </w:t>
      </w:r>
      <w:hyperlink w:anchor="P1068">
        <w:r>
          <w:rPr>
            <w:color w:val="0000FF"/>
          </w:rPr>
          <w:t>34</w:t>
        </w:r>
      </w:hyperlink>
      <w:r>
        <w:t xml:space="preserve">, </w:t>
      </w:r>
      <w:hyperlink w:anchor="P1069">
        <w:r>
          <w:rPr>
            <w:color w:val="0000FF"/>
          </w:rPr>
          <w:t>35</w:t>
        </w:r>
      </w:hyperlink>
      <w:r>
        <w:t xml:space="preserve">, </w:t>
      </w:r>
      <w:hyperlink w:anchor="P1071">
        <w:r>
          <w:rPr>
            <w:color w:val="0000FF"/>
          </w:rPr>
          <w:t>37</w:t>
        </w:r>
      </w:hyperlink>
      <w:r>
        <w:t xml:space="preserve">, </w:t>
      </w:r>
      <w:hyperlink w:anchor="P1072">
        <w:r>
          <w:rPr>
            <w:color w:val="0000FF"/>
          </w:rPr>
          <w:t>38</w:t>
        </w:r>
      </w:hyperlink>
      <w:r>
        <w:t xml:space="preserve">, </w:t>
      </w:r>
      <w:hyperlink w:anchor="P1073">
        <w:r>
          <w:rPr>
            <w:color w:val="0000FF"/>
          </w:rPr>
          <w:t>39</w:t>
        </w:r>
      </w:hyperlink>
      <w:r>
        <w:t xml:space="preserve">, </w:t>
      </w:r>
      <w:hyperlink w:anchor="P1074">
        <w:r>
          <w:rPr>
            <w:color w:val="0000FF"/>
          </w:rPr>
          <w:t>40</w:t>
        </w:r>
      </w:hyperlink>
      <w:r>
        <w:t xml:space="preserve">, </w:t>
      </w:r>
      <w:hyperlink w:anchor="P1075">
        <w:r>
          <w:rPr>
            <w:color w:val="0000FF"/>
          </w:rPr>
          <w:t>41</w:t>
        </w:r>
      </w:hyperlink>
      <w:r>
        <w:t xml:space="preserve">, </w:t>
      </w:r>
      <w:hyperlink w:anchor="P1076">
        <w:r>
          <w:rPr>
            <w:color w:val="0000FF"/>
          </w:rPr>
          <w:t>42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Этиология и молекулярный патогенез фенокопий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Заболевания генетической и негенетической природы, по морфофункциональному фенотипу схожих с ГКМП, но имеющие отличный от нее этиопатогенез и, следовательно, подходы к терапии, называют фенокопиями ГКМП.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Наиболее часто встречающиеся фенокопии ГКМП и их молекулярный патогенез представлены в </w:t>
      </w:r>
      <w:hyperlink w:anchor="P2502">
        <w:r>
          <w:rPr>
            <w:color w:val="0000FF"/>
          </w:rPr>
          <w:t>таблице П1</w:t>
        </w:r>
      </w:hyperlink>
      <w:r>
        <w:t>, Приложение Г3 [</w:t>
      </w:r>
      <w:hyperlink w:anchor="P1071">
        <w:r>
          <w:rPr>
            <w:color w:val="0000FF"/>
          </w:rPr>
          <w:t>37</w:t>
        </w:r>
      </w:hyperlink>
      <w:r>
        <w:t xml:space="preserve">, </w:t>
      </w:r>
      <w:hyperlink w:anchor="P1077">
        <w:r>
          <w:rPr>
            <w:color w:val="0000FF"/>
          </w:rPr>
          <w:t>43</w:t>
        </w:r>
      </w:hyperlink>
      <w:r>
        <w:t xml:space="preserve">, </w:t>
      </w:r>
      <w:hyperlink w:anchor="P1078">
        <w:r>
          <w:rPr>
            <w:color w:val="0000FF"/>
          </w:rPr>
          <w:t>44</w:t>
        </w:r>
      </w:hyperlink>
      <w:r>
        <w:t xml:space="preserve">, </w:t>
      </w:r>
      <w:hyperlink w:anchor="P1079">
        <w:r>
          <w:rPr>
            <w:color w:val="0000FF"/>
          </w:rPr>
          <w:t>45</w:t>
        </w:r>
      </w:hyperlink>
      <w:r>
        <w:t xml:space="preserve">, </w:t>
      </w:r>
      <w:hyperlink w:anchor="P1080">
        <w:r>
          <w:rPr>
            <w:color w:val="0000FF"/>
          </w:rPr>
          <w:t>46</w:t>
        </w:r>
      </w:hyperlink>
      <w:r>
        <w:t xml:space="preserve">, </w:t>
      </w:r>
      <w:hyperlink w:anchor="P1081">
        <w:r>
          <w:rPr>
            <w:color w:val="0000FF"/>
          </w:rPr>
          <w:t>47</w:t>
        </w:r>
      </w:hyperlink>
      <w:r>
        <w:t xml:space="preserve">, </w:t>
      </w:r>
      <w:hyperlink w:anchor="P1082">
        <w:r>
          <w:rPr>
            <w:color w:val="0000FF"/>
          </w:rPr>
          <w:t>48</w:t>
        </w:r>
      </w:hyperlink>
      <w:r>
        <w:t xml:space="preserve">, </w:t>
      </w:r>
      <w:hyperlink w:anchor="P1083">
        <w:r>
          <w:rPr>
            <w:color w:val="0000FF"/>
          </w:rPr>
          <w:t>49</w:t>
        </w:r>
      </w:hyperlink>
      <w:r>
        <w:t xml:space="preserve">, </w:t>
      </w:r>
      <w:hyperlink w:anchor="P1084">
        <w:r>
          <w:rPr>
            <w:color w:val="0000FF"/>
          </w:rPr>
          <w:t>50</w:t>
        </w:r>
      </w:hyperlink>
      <w:r>
        <w:t xml:space="preserve">, </w:t>
      </w:r>
      <w:hyperlink w:anchor="P1085">
        <w:r>
          <w:rPr>
            <w:color w:val="0000FF"/>
          </w:rPr>
          <w:t>51</w:t>
        </w:r>
      </w:hyperlink>
      <w:r>
        <w:t xml:space="preserve">, </w:t>
      </w:r>
      <w:hyperlink w:anchor="P1086">
        <w:r>
          <w:rPr>
            <w:color w:val="0000FF"/>
          </w:rPr>
          <w:t>52</w:t>
        </w:r>
      </w:hyperlink>
      <w:r>
        <w:t xml:space="preserve">, </w:t>
      </w:r>
      <w:hyperlink w:anchor="P1087">
        <w:r>
          <w:rPr>
            <w:color w:val="0000FF"/>
          </w:rPr>
          <w:t>53</w:t>
        </w:r>
      </w:hyperlink>
      <w:r>
        <w:t xml:space="preserve">, </w:t>
      </w:r>
      <w:hyperlink w:anchor="P1088">
        <w:r>
          <w:rPr>
            <w:color w:val="0000FF"/>
          </w:rPr>
          <w:t>54</w:t>
        </w:r>
      </w:hyperlink>
      <w:r>
        <w:t xml:space="preserve">, </w:t>
      </w:r>
      <w:hyperlink w:anchor="P1089">
        <w:r>
          <w:rPr>
            <w:color w:val="0000FF"/>
          </w:rPr>
          <w:t>55</w:t>
        </w:r>
      </w:hyperlink>
      <w:r>
        <w:t xml:space="preserve">, </w:t>
      </w:r>
      <w:hyperlink w:anchor="P1090">
        <w:r>
          <w:rPr>
            <w:color w:val="0000FF"/>
          </w:rPr>
          <w:t>56</w:t>
        </w:r>
      </w:hyperlink>
      <w:r>
        <w:t xml:space="preserve">, </w:t>
      </w:r>
      <w:hyperlink w:anchor="P1091">
        <w:r>
          <w:rPr>
            <w:color w:val="0000FF"/>
          </w:rPr>
          <w:t>57</w:t>
        </w:r>
      </w:hyperlink>
      <w:r>
        <w:t xml:space="preserve">, </w:t>
      </w:r>
      <w:hyperlink w:anchor="P1092">
        <w:r>
          <w:rPr>
            <w:color w:val="0000FF"/>
          </w:rPr>
          <w:t>58</w:t>
        </w:r>
      </w:hyperlink>
      <w:r>
        <w:t xml:space="preserve">, </w:t>
      </w:r>
      <w:hyperlink w:anchor="P1093">
        <w:r>
          <w:rPr>
            <w:color w:val="0000FF"/>
          </w:rPr>
          <w:t>59</w:t>
        </w:r>
      </w:hyperlink>
      <w:r>
        <w:t xml:space="preserve">, </w:t>
      </w:r>
      <w:hyperlink w:anchor="P1094">
        <w:r>
          <w:rPr>
            <w:color w:val="0000FF"/>
          </w:rPr>
          <w:t>60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Патогенез симптомов и синдромов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Патогенез ГКМП на органном уровне заключается в совокупности нескольких синдромов: обструкции ВТЛЖ, ишемии миокарда, систолической и диастолической дисфункции ЛЖ, аритмическом и ХСН.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Синдром обструкции ВТЛЖ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В создании обструкции ВТЛЖ участвуют структурные, кинетические и геометрические факторы </w:t>
      </w:r>
      <w:hyperlink w:anchor="P1095">
        <w:r>
          <w:rPr>
            <w:color w:val="0000FF"/>
          </w:rPr>
          <w:t>[61]</w:t>
        </w:r>
      </w:hyperlink>
      <w:r>
        <w:t>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Структурные аномалии: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a. сужение ВТЛЖ гипертрофированной МЖП (уменьшение степени обструкции ВТЛЖ после миоэктомии/САА обусловлено воздействием на этот фактор);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b. ПСД (передне-систолическое движение) створок МК;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c. уменьшенная полость ЛЖ;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d. аномалии папиллярных мышц (и другие малые аномалии сердца) (гипертрофия и дислокация, добавочная ПМ);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e. апикально-базальный мышечный пучок.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Кинетические факторы - гиперсократимость ЛЖ и ускорение кровотока в ВТЛЖ;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3. Геометрические факторы: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a. переднее смещение МК, точка коаптации створок МК смещена ближе к МЖП </w:t>
      </w:r>
      <w:hyperlink w:anchor="P1096">
        <w:r>
          <w:rPr>
            <w:color w:val="0000FF"/>
          </w:rPr>
          <w:t>[62]</w:t>
        </w:r>
      </w:hyperlink>
      <w:r>
        <w:t>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b. малый аорто-митральный угол (&lt; 120°).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Чем больше факторов имеется у конкретного пациента, тем более выражен синдром обструкции ВТЛЖ.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Передне-систолическое движение створок МК обусловлено следующими факторами: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a. аномалии створок МК (удлинение, избыточность);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b. нарушение координации кровотока в полости ЛЖ в раннюю систолу, в результате чего на створки МК действует сила, сдвигающая их в сторону ВТЛЖ [</w:t>
      </w:r>
      <w:hyperlink w:anchor="P1097">
        <w:r>
          <w:rPr>
            <w:color w:val="0000FF"/>
          </w:rPr>
          <w:t>63</w:t>
        </w:r>
      </w:hyperlink>
      <w:r>
        <w:t xml:space="preserve">, </w:t>
      </w:r>
      <w:hyperlink w:anchor="P1098">
        <w:r>
          <w:rPr>
            <w:color w:val="0000FF"/>
          </w:rPr>
          <w:t>64</w:t>
        </w:r>
      </w:hyperlink>
      <w:r>
        <w:t>];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c. аномалии хорд МК;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d. меньшее соотношение длины передней и задней створок МК (&lt; 1,3), при этом точка коаптации створок МК смещается кпереди ближе к ВТЛЖ [</w:t>
      </w:r>
      <w:hyperlink w:anchor="P1099">
        <w:r>
          <w:rPr>
            <w:color w:val="0000FF"/>
          </w:rPr>
          <w:t>65</w:t>
        </w:r>
      </w:hyperlink>
      <w:r>
        <w:t xml:space="preserve">, </w:t>
      </w:r>
      <w:hyperlink w:anchor="P1100">
        <w:r>
          <w:rPr>
            <w:color w:val="0000FF"/>
          </w:rPr>
          <w:t>66</w:t>
        </w:r>
      </w:hyperlink>
      <w:r>
        <w:t xml:space="preserve">, </w:t>
      </w:r>
      <w:hyperlink w:anchor="P1101">
        <w:r>
          <w:rPr>
            <w:color w:val="0000FF"/>
          </w:rPr>
          <w:t>67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У пациентов с латентной обструкцией провоцирующими ее факторами являются: увеличение сократимости ЛЖ при нагрузке, приводящее к уменьшению конечно-систолического размера ЛЖ и переднему смещению МК; ускорение кровотока в ВТЛЖ в период систолы, усугубляющее ПСД МК </w:t>
      </w:r>
      <w:hyperlink w:anchor="P1102">
        <w:r>
          <w:rPr>
            <w:color w:val="0000FF"/>
          </w:rPr>
          <w:t>[68]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У пациентов с ГКМП может быть лабильная обструкция, характеризующаяся значительными спонтанными колебаниями внутрижелудочкового ГД без видимой причины </w:t>
      </w:r>
      <w:hyperlink w:anchor="P1103">
        <w:r>
          <w:rPr>
            <w:color w:val="0000FF"/>
          </w:rPr>
          <w:t>[69]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Кроме обструкции ВТЛЖ, у пациентов с ГКМП может наблюдаться среднежелудочковая обструкция. Среднежелудочковая обструкция развивается у пациентов с гипертрофией срединных сегментов МЖП и, как правило, в сочетании с гипертрофией папиллярных мышц [</w:t>
      </w:r>
      <w:hyperlink w:anchor="P1104">
        <w:r>
          <w:rPr>
            <w:color w:val="0000FF"/>
          </w:rPr>
          <w:t>70</w:t>
        </w:r>
      </w:hyperlink>
      <w:r>
        <w:t xml:space="preserve">, </w:t>
      </w:r>
      <w:hyperlink w:anchor="P1105">
        <w:r>
          <w:rPr>
            <w:color w:val="0000FF"/>
          </w:rPr>
          <w:t>71</w:t>
        </w:r>
      </w:hyperlink>
      <w:r>
        <w:t xml:space="preserve">, </w:t>
      </w:r>
      <w:hyperlink w:anchor="P1106">
        <w:r>
          <w:rPr>
            <w:color w:val="0000FF"/>
          </w:rPr>
          <w:t>72</w:t>
        </w:r>
      </w:hyperlink>
      <w:r>
        <w:t>]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При комбинированной гипертрофии (МЖП + апикальные сегменты) может быть 2-уровневая обструкция (срединно-желудочковая + на уровне ВТЛЖ) </w:t>
      </w:r>
      <w:hyperlink w:anchor="P1107">
        <w:r>
          <w:rPr>
            <w:color w:val="0000FF"/>
          </w:rPr>
          <w:t>[73]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Синдром ишемии миокарда ЛЖ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У пациентов с ГКМП при интактных коронарных артериях может развиваться ишемия миокарда. В англоязычной литературе используют термин INOCA (ischemia and no obstructive coronary artery) </w:t>
      </w:r>
      <w:hyperlink w:anchor="P1108">
        <w:r>
          <w:rPr>
            <w:color w:val="0000FF"/>
          </w:rPr>
          <w:t>[74]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Факторы, приводящие к ишемии миокарда: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a. относительная коронарная недостаточность (уменьшение резерва коронарного кровотока при выраженной гипертрофии);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b. ишемия субэндокардиальных слоев миокарда за счет компрессии интрамуральных коронарных артерий;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c. периваскулярный фиброз, при этом интрамуральные коронарные артерии не могут расшириться во время физической нагрузки, когда возрастает потребность миокарда в кислороде и требуется увеличение коронарного кровотока;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d. врожденная патология коронарных артерий - "миокардиальные мышечные мостики" и интрамуральное расположение ветвей крупных коронарных артерий;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e. помимо перечисленных причин, у 15 - 25% пациентов наблюдают сопутствующий атеросклероз в эпикардиальных коронарных артериях (в старшей возрастной группе пациентов).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У пациентов с ГКМП может развиваться инфаркт миокарда (ИМ) как 2 типа (без атеротромбоза), так и 1 типа. Факторы риска развития инфаркта миокарда 2 типа у пациентов с ГКМП представлены в </w:t>
      </w:r>
      <w:hyperlink w:anchor="P2151">
        <w:r>
          <w:rPr>
            <w:color w:val="0000FF"/>
          </w:rPr>
          <w:t>таблице П9</w:t>
        </w:r>
      </w:hyperlink>
      <w:r>
        <w:t>, Приложение Г1. [</w:t>
      </w:r>
      <w:hyperlink w:anchor="P1109">
        <w:r>
          <w:rPr>
            <w:color w:val="0000FF"/>
          </w:rPr>
          <w:t>75</w:t>
        </w:r>
      </w:hyperlink>
      <w:r>
        <w:t xml:space="preserve"> - </w:t>
      </w:r>
      <w:hyperlink w:anchor="P1124">
        <w:r>
          <w:rPr>
            <w:color w:val="0000FF"/>
          </w:rPr>
          <w:t>90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Синдром дисфункции ЛЖ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Диастолическая функция ЛЖ может быть нарушена уже у носителей мутации, в догипертрофической стадии ГКМП - генотип (+)/фенотип (-) </w:t>
      </w:r>
      <w:hyperlink w:anchor="P1125">
        <w:r>
          <w:rPr>
            <w:color w:val="0000FF"/>
          </w:rPr>
          <w:t>[91]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ГКМП нарушения касаются двух основных детерминант диастолического наполнения ЛЖ - активной релаксации и растяжимости миокарда. Гипертрофия миокарда per se вызывает нарушение активного расслабления. Хаотическое расположение сократительных элементов (disarray) и интерстициальный фиброз приводят к снижению податливости ЛЖ, и, как следствие, к возрастанию сопротивления наполнению ЛЖ и повышению давления наполнения. В начальных стадиях ГКМП нарушено только активное расслабление миокарда, при этом давление в ЛП не увеличено. По мере прогрессирования гипертрофии, развития фиброза, нарастания степени митральной регургитации, присоединения ишемии миокарда диастолические нарушения нарастают, приводя к увеличению давления в ЛП (соответственно, и к увеличению КДД ЛЖ). Также выраженная диастолическая дисфункция может приводить к развитию легочной гипертензии у некоторых пациентов (ЛГ у 50% симптомных пациентов) [</w:t>
      </w:r>
      <w:hyperlink w:anchor="P1125">
        <w:r>
          <w:rPr>
            <w:color w:val="0000FF"/>
          </w:rPr>
          <w:t>91</w:t>
        </w:r>
      </w:hyperlink>
      <w:r>
        <w:t xml:space="preserve"> - </w:t>
      </w:r>
      <w:hyperlink w:anchor="P1130">
        <w:r>
          <w:rPr>
            <w:color w:val="0000FF"/>
          </w:rPr>
          <w:t>96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Систолическая функция ЛЖ может оцениваться как по параметрам сократимости, так и по объемным показателям.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Глобальная систолическая функция ЛЖ, оцениваемая по параметрам сократимости, у пациентов с ГКМП сверхнормальная, что выражается высокой ФВЛЖ. Следует учесть, что показатель ФВ при ГЛЖ и маленьком ЛЖ может некорректно характеризовать сократимость. Региональная систолическая функция ЛЖ гетерогенна: гипертрофированные сегменты ЛЖ гипокинетичны (снижена степень систолического утолщения и деформация), а негипертрофированные сегменты имеют нормальную/сверхнормальную сократимость.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Объемным показателем систолической функции ЛЖ является величина ударного объема (УО). При ГКМП и уменьшенном ЛЖ (малый КДО) УО снижен, несмотря на высокую ФВЛЖ. Также снижена возможность прироста УО при физической нагрузке.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Систолическая функция ЛЖ, анализируемая по систолической деформации, может быть нарушена уже у носителей ГКМП-мутации, на догипертрофической стадии.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При прогрессировании заболевания (негативное ремоделирование, adverse remodeling) в дилатационной стадии наблюдается уменьшение степени гипертрофии ("выгорание"), сопровождаемое снижением общей сократимости ЛЖ (ФВ &lt; 50%) [</w:t>
      </w:r>
      <w:hyperlink w:anchor="P1055">
        <w:r>
          <w:rPr>
            <w:color w:val="0000FF"/>
          </w:rPr>
          <w:t>21</w:t>
        </w:r>
      </w:hyperlink>
      <w:r>
        <w:t xml:space="preserve">, </w:t>
      </w:r>
      <w:hyperlink w:anchor="P1058">
        <w:r>
          <w:rPr>
            <w:color w:val="0000FF"/>
          </w:rPr>
          <w:t>24</w:t>
        </w:r>
      </w:hyperlink>
      <w:r>
        <w:t xml:space="preserve">, </w:t>
      </w:r>
      <w:hyperlink w:anchor="P1126">
        <w:r>
          <w:rPr>
            <w:color w:val="0000FF"/>
          </w:rPr>
          <w:t>92</w:t>
        </w:r>
      </w:hyperlink>
      <w:r>
        <w:t xml:space="preserve"> - </w:t>
      </w:r>
      <w:hyperlink w:anchor="P1128">
        <w:r>
          <w:rPr>
            <w:color w:val="0000FF"/>
          </w:rPr>
          <w:t>94</w:t>
        </w:r>
      </w:hyperlink>
      <w:r>
        <w:t xml:space="preserve">, </w:t>
      </w:r>
      <w:hyperlink w:anchor="P1131">
        <w:r>
          <w:rPr>
            <w:color w:val="0000FF"/>
          </w:rPr>
          <w:t>97</w:t>
        </w:r>
      </w:hyperlink>
      <w:r>
        <w:t xml:space="preserve"> - </w:t>
      </w:r>
      <w:hyperlink w:anchor="P1135">
        <w:r>
          <w:rPr>
            <w:color w:val="0000FF"/>
          </w:rPr>
          <w:t>101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ПЖ при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 xml:space="preserve">У 30 - 44% пациентов с ГКМП наблюдаются структурные и функциональные нарушения в ПЖ. Критерием гипертрофии миокарда ПЖ считается увеличение толщины стенки ПЖ &gt; 5 мм. Толщина миокарда ПЖ &gt; 10 мм считается экстремальной ГПЖ </w:t>
      </w:r>
      <w:hyperlink w:anchor="P1136">
        <w:r>
          <w:rPr>
            <w:color w:val="0000FF"/>
          </w:rPr>
          <w:t>[102]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Гипертрофия ПЖ в единичных случаях бывает изолированной, без ГЛЖ.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Структурное ремоделирование ПЖ в 15 - 90% приводит к внутрижелудочковой обструкции, которая может быть на уровне срединных сегментов ПЖ или на уровне выходного тракта ПЖ </w:t>
      </w:r>
      <w:hyperlink w:anchor="P1137">
        <w:r>
          <w:rPr>
            <w:color w:val="0000FF"/>
          </w:rPr>
          <w:t>[103]</w:t>
        </w:r>
      </w:hyperlink>
      <w:r>
        <w:t xml:space="preserve">. Критерием наличия обструкции ВТПЖ считается увеличение градиента давления в ВТПЖ &gt; 16 мм рт. ст. в покое </w:t>
      </w:r>
      <w:hyperlink w:anchor="P1138">
        <w:r>
          <w:rPr>
            <w:color w:val="0000FF"/>
          </w:rPr>
          <w:t>[104]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Систолическая дисфункция ПЖ проявляется уменьшением продольной деформации ПЖ; при этом другие показатели систолической функции ПЖ (TAPSE и s'латеральной части трикуспидального кольца), как правило, в пределах нормальных значений.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Диастолическая дисфункция ПЖ в начальных стадиях характеризуется E/A &lt; 1, увеличением RV DecT (время замедления кровотока в фазу раннего наполнения ПЖ), E/e'&gt; 6,0. Показано, что наличие диастолической дисфункции ПЖ является предиктором ВСС и ХСН [</w:t>
      </w:r>
      <w:hyperlink w:anchor="P1130">
        <w:r>
          <w:rPr>
            <w:color w:val="0000FF"/>
          </w:rPr>
          <w:t>96</w:t>
        </w:r>
      </w:hyperlink>
      <w:r>
        <w:t xml:space="preserve">, </w:t>
      </w:r>
      <w:hyperlink w:anchor="P1136">
        <w:r>
          <w:rPr>
            <w:color w:val="0000FF"/>
          </w:rPr>
          <w:t>102</w:t>
        </w:r>
      </w:hyperlink>
      <w:r>
        <w:t xml:space="preserve"> - </w:t>
      </w:r>
      <w:hyperlink w:anchor="P1143">
        <w:r>
          <w:rPr>
            <w:color w:val="0000FF"/>
          </w:rPr>
          <w:t>109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Внезапная сердечная смерть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основе патогенеза ВСС лежат фатальные нарушения ритма, вызванные ишемией миокарда и электрической нестабильностью. ВСС чаще обусловлена ФЖ (62,4%), брадиаритмиями (16,5%), ЖТ типа "Torsades de pointes" (12,7%), ЖТ (8,3%) и асистолией [</w:t>
      </w:r>
      <w:hyperlink w:anchor="P1113">
        <w:r>
          <w:rPr>
            <w:color w:val="0000FF"/>
          </w:rPr>
          <w:t>79</w:t>
        </w:r>
      </w:hyperlink>
      <w:r>
        <w:t xml:space="preserve">, </w:t>
      </w:r>
      <w:hyperlink w:anchor="P1144">
        <w:r>
          <w:rPr>
            <w:color w:val="0000FF"/>
          </w:rPr>
          <w:t>110</w:t>
        </w:r>
      </w:hyperlink>
      <w:r>
        <w:t xml:space="preserve"> - </w:t>
      </w:r>
      <w:hyperlink w:anchor="P1155">
        <w:r>
          <w:rPr>
            <w:color w:val="0000FF"/>
          </w:rPr>
          <w:t>121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Синкопы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Синкопальные состояния могут быть обусловлены как аритмическими, так и гемодинамическими причинами. К гемодинамическим причинам относят ситуативное увеличение обструкции ВТЛЖ (физическая нагрузка), вызывающее значимое уменьшение ударного объема и падение АД, а также снижение периферического сопротивления в результате неадекватной вазодилатации, в том числе вазовагальные обмороки [</w:t>
      </w:r>
      <w:hyperlink w:anchor="P1156">
        <w:r>
          <w:rPr>
            <w:color w:val="0000FF"/>
          </w:rPr>
          <w:t>122</w:t>
        </w:r>
      </w:hyperlink>
      <w:r>
        <w:t xml:space="preserve"> - </w:t>
      </w:r>
      <w:hyperlink w:anchor="P1159">
        <w:r>
          <w:rPr>
            <w:color w:val="0000FF"/>
          </w:rPr>
          <w:t>125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Фибрилляция предсердий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Факторы: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a. "предсердная миопатия" - показано, что функция ЛП нарушена у носителей мутации в доклинической стадии до развития гипертрофии </w:t>
      </w:r>
      <w:hyperlink w:anchor="P1160">
        <w:r>
          <w:rPr>
            <w:color w:val="0000FF"/>
          </w:rPr>
          <w:t>[126]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b. структурное (дилатация) и функциональное ремоделирование ЛП, приводящее к электрической нестабильности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c. интерстициальный фиброз ЛП [</w:t>
      </w:r>
      <w:hyperlink w:anchor="P1161">
        <w:r>
          <w:rPr>
            <w:color w:val="0000FF"/>
          </w:rPr>
          <w:t>127</w:t>
        </w:r>
      </w:hyperlink>
      <w:r>
        <w:t xml:space="preserve">, </w:t>
      </w:r>
      <w:hyperlink w:anchor="P1162">
        <w:r>
          <w:rPr>
            <w:color w:val="0000FF"/>
          </w:rPr>
          <w:t>128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Хроническая сердечная недостаточность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Факторы: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a. уменьшенный ЛЖ (малый КДО) и, несмотря на высокую ФВЛЖ, малый УО ЛЖ;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b. неспособность увеличить в должной степени УО при физической нагрузке;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c. обструкция ВТЛЖ, вносящая вклад в уменьшение УО;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d. систолическая дисфункция ЛЖ при прогрессировании ГКМП, особенно в дилатационной </w:t>
      </w:r>
      <w:r>
        <w:lastRenderedPageBreak/>
        <w:t>стадии (ишемия миокарда, диссинхрония ЛЖ);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e. диастолическая дисфункция ЛЖ (фиброз миокарда, повышение давления в ЛП и КДД)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f. митральная регургитация (вносит вклад в повышение давления в ЛП);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g. нарушения ритма (ФП);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h. легочная гипертензия.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[</w:t>
      </w:r>
      <w:hyperlink w:anchor="P1055">
        <w:r>
          <w:rPr>
            <w:color w:val="0000FF"/>
          </w:rPr>
          <w:t>21</w:t>
        </w:r>
      </w:hyperlink>
      <w:r>
        <w:t xml:space="preserve">, </w:t>
      </w:r>
      <w:hyperlink w:anchor="P1126">
        <w:r>
          <w:rPr>
            <w:color w:val="0000FF"/>
          </w:rPr>
          <w:t>92</w:t>
        </w:r>
      </w:hyperlink>
      <w:r>
        <w:t xml:space="preserve">, </w:t>
      </w:r>
      <w:hyperlink w:anchor="P1135">
        <w:r>
          <w:rPr>
            <w:color w:val="0000FF"/>
          </w:rPr>
          <w:t>101</w:t>
        </w:r>
      </w:hyperlink>
      <w:r>
        <w:t xml:space="preserve">, </w:t>
      </w:r>
      <w:hyperlink w:anchor="P1161">
        <w:r>
          <w:rPr>
            <w:color w:val="0000FF"/>
          </w:rPr>
          <w:t>127</w:t>
        </w:r>
      </w:hyperlink>
      <w:r>
        <w:t xml:space="preserve">, </w:t>
      </w:r>
      <w:hyperlink w:anchor="P1163">
        <w:r>
          <w:rPr>
            <w:color w:val="0000FF"/>
          </w:rPr>
          <w:t>129</w:t>
        </w:r>
      </w:hyperlink>
      <w:r>
        <w:t xml:space="preserve"> - </w:t>
      </w:r>
      <w:hyperlink w:anchor="P1167">
        <w:r>
          <w:rPr>
            <w:color w:val="0000FF"/>
          </w:rPr>
          <w:t>133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1.3 Эпидемиология заболевания или состояния (группы заболеваний или состояний)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ГКМП нет четкой географической, этнической или половой структуры распределения.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ГКМП - практически единственное кардиоваскулярное заболевание, которое может манифестировать в любом возрасте человека от младенчества до глубокой старости (с первых дней до 90 и более лет); при этом средний возраст пациентов при установке диагноза составляет 30 - 40 лет.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Согласно данным эпидемиологических исследований, проводимых в разных частях света, распространенность ГКМП составляет 1:500 в общей популяции. В разных возрастных когортах она варьируется от 1:500 до 1:200.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применении более чувствительных методов визуализации (МРТ, КТ) и более широком использовании генетического тестирования и каскадного скрининга для родственников первой линии родства распространенность ГКМП соответствует 0,6% (1:167).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Частота в общей популяции превышает встречаемость ГКМП в кардиологической практике, так как большая часть пациентов остается неидентифицированной ввиду бессимптомности. При выявлении гипертрофии сердца в старших возрастных группах и толщине стенки ЛЖ 12 мм и более необходимо учитывать возможность фенокопий ГКМП и вторичной ГЛЖ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62">
        <w:r>
          <w:rPr>
            <w:color w:val="0000FF"/>
          </w:rPr>
          <w:t>28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168">
        <w:r>
          <w:rPr>
            <w:color w:val="0000FF"/>
          </w:rPr>
          <w:t>134</w:t>
        </w:r>
      </w:hyperlink>
      <w:r>
        <w:t xml:space="preserve">, </w:t>
      </w:r>
      <w:hyperlink w:anchor="P1169">
        <w:r>
          <w:rPr>
            <w:color w:val="0000FF"/>
          </w:rPr>
          <w:t>135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1.4 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</w:r>
    </w:p>
    <w:p w:rsidR="00D02866" w:rsidRDefault="00D02866">
      <w:pPr>
        <w:pStyle w:val="ConsPlusNormal"/>
        <w:spacing w:before="220"/>
        <w:ind w:firstLine="540"/>
        <w:jc w:val="both"/>
      </w:pPr>
      <w:hyperlink r:id="rId7">
        <w:r>
          <w:rPr>
            <w:color w:val="0000FF"/>
          </w:rPr>
          <w:t>I42.1</w:t>
        </w:r>
      </w:hyperlink>
      <w:r>
        <w:t xml:space="preserve"> - Обструктивная гипертрофическая кардиомиопатия.</w:t>
      </w:r>
    </w:p>
    <w:p w:rsidR="00D02866" w:rsidRDefault="00D02866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I42.2</w:t>
        </w:r>
      </w:hyperlink>
      <w:r>
        <w:t xml:space="preserve"> - Другая гипертрофическая кардиомиопатия.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1.5 Классификация заболевания или состояния (группы заболеваний или состояний)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повседневной клинической практике применяют несколько классификационных подходов - клинический, гемодинамический, морфологический, генетический.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Клинические варианты течения ГКМП - см. </w:t>
      </w:r>
      <w:hyperlink w:anchor="P256">
        <w:r>
          <w:rPr>
            <w:color w:val="0000FF"/>
          </w:rPr>
          <w:t>раздел 1.6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Гемодинамический принцип классификации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зависимости от наличия или отсутствия обструкции ВТЛЖ в покое и при нагрузке выделяют следующие варианты ГКМП: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необструктивная ГКМП: ГД в ВТЛЖ &lt; 30 мм рт. ст. в покое и при нагрузке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- обструктивная ГКМП: ГД в ВТЛЖ &gt; 30 (50) мм рт. ст. в покое и при нагрузке.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латентная обструкция: ГД в ВТЛЖ &lt; 30 в покое и &gt; 30 (50) мм рт. ст. при нагрузке.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(подробнее критерии обструкции ВТЛЖ см. в </w:t>
      </w:r>
      <w:hyperlink w:anchor="P274">
        <w:r>
          <w:rPr>
            <w:color w:val="0000FF"/>
          </w:rPr>
          <w:t>разделе</w:t>
        </w:r>
      </w:hyperlink>
      <w:r>
        <w:t>"Диагностика")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Морфологический принцип классификации ГКМП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4"/>
      </w:pPr>
      <w:r>
        <w:t>1. Асимметричная форма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a. Гипертрофия МЖП (+/- вовлечение ПЖ):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i. Базальной части МЖП (субаортальная)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ii. Сигмовидная МЖП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iii. Гипертрофия всей МЖП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iv. Двояковыпуклая МЖП (англ. "reverse curve") - преимущественно среднежелудочковая гипертрофия МЖП без вовлечения свободной стенки ЛЖ [</w:t>
      </w:r>
      <w:hyperlink w:anchor="P1170">
        <w:r>
          <w:rPr>
            <w:color w:val="0000FF"/>
          </w:rPr>
          <w:t>136</w:t>
        </w:r>
      </w:hyperlink>
      <w:r>
        <w:t xml:space="preserve">, </w:t>
      </w:r>
      <w:hyperlink w:anchor="P1171">
        <w:r>
          <w:rPr>
            <w:color w:val="0000FF"/>
          </w:rPr>
          <w:t>137</w:t>
        </w:r>
      </w:hyperlink>
      <w:r>
        <w:t>]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0" w:name="P242"/>
      <w:bookmarkEnd w:id="0"/>
      <w:r>
        <w:t>v. Комбинированная (МЖП + другой отдел ЛЖ или ПЖ)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b. Апикальная гипертрофия (+/- срединные сегменты ЛЖ)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c. Среднежелудочковая ГКМП (с вовлечением срединных отделов не только МЖП, но и свободной стенки ЛЖ, ЛЖ типа "песочные часы")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d. Гипертрофия другой стенки ЛЖ (боковая, задняя)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4"/>
      </w:pPr>
      <w:r>
        <w:t>2. Симметричная форма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В отечественной и зарубежной литературе иногда используется термин "диффузная гипертрофия ЛЖ", под которым можно понимать комбинированную </w:t>
      </w:r>
      <w:hyperlink w:anchor="P242">
        <w:r>
          <w:rPr>
            <w:color w:val="0000FF"/>
          </w:rPr>
          <w:t>(пункт 1.a.v.)</w:t>
        </w:r>
      </w:hyperlink>
      <w:r>
        <w:t xml:space="preserve"> или симметричную гипертрофию ЛЖ </w:t>
      </w:r>
      <w:hyperlink w:anchor="P1172">
        <w:r>
          <w:rPr>
            <w:color w:val="0000FF"/>
          </w:rPr>
          <w:t>[138]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По степени выраженности гипертрофии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"Умеренная" (в англоязычной литературе используется термин "mild") - (максимальная толщина стенки ЛЖ &lt; 18 мм).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Промежуточная.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3. Экстремальная (максимальная толщина стенки ЛЖ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30 мм).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Предложена классификация кардиомиопатий MOGE(s) (2013), которая выделяет не только "классические" морфофункциональные фенотипы (гипертрофический, дилатационный, рестриктивный, аритмогенная дисплазия, некомпактный миокард), но и смешанные фенотипы (при ГКМП - см. </w:t>
      </w:r>
      <w:hyperlink w:anchor="P2502">
        <w:r>
          <w:rPr>
            <w:color w:val="0000FF"/>
          </w:rPr>
          <w:t>таблицу П2</w:t>
        </w:r>
      </w:hyperlink>
      <w:r>
        <w:t>, Приложение Г3) [</w:t>
      </w:r>
      <w:hyperlink w:anchor="P1049">
        <w:r>
          <w:rPr>
            <w:color w:val="0000FF"/>
          </w:rPr>
          <w:t>15</w:t>
        </w:r>
      </w:hyperlink>
      <w:r>
        <w:t xml:space="preserve">, </w:t>
      </w:r>
      <w:hyperlink w:anchor="P1077">
        <w:r>
          <w:rPr>
            <w:color w:val="0000FF"/>
          </w:rPr>
          <w:t>43</w:t>
        </w:r>
      </w:hyperlink>
      <w:r>
        <w:t xml:space="preserve">, </w:t>
      </w:r>
      <w:hyperlink w:anchor="P1173">
        <w:r>
          <w:rPr>
            <w:color w:val="0000FF"/>
          </w:rPr>
          <w:t>139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1" w:name="P256"/>
      <w:bookmarkEnd w:id="1"/>
      <w:r>
        <w:t>1.6 Клиническая картина заболевания или состояния (группы заболеваний или состояний)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ГКМП - заболевание, характеризующееся выраженной гетерогенностью клинических проявлений.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Клинические варианты течения ГКМП: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1. ВСС - может отмечаться при любом варианте течения ГКМП, в том числе без предшествующей симптоматики (наиболее часто встречается у молодых пациентов &lt; 35 лет, включая спортсменов).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Бессимптомное течение - встречается у пациентов с исходно необструктивной формой ГКМП (небольшая степень гипертрофии миокарда, без сопутствующих аномалий МК). Продолжительность жизни у этих пациентов как в общей популяции - 75 лет и более. Также бессимптомными могут быть пациенты с небольшой степенью обструкции ВТЛЖ (в покое и/или при нагрузке).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3. Симптомное стабильное (на фоне медикаментозной терапии) доброкачественное течение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a. у пациентов с исходно необструктивной формой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b. при ОГКМП с небольшой степенью обструкции ВТЛЖ.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4. Симптомное осложненное течение ГКМП проявляется: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a. фибрилляцией предсердий - пароксизмальная, персистирующая или постоянная (от 25 до 30%), ассоциированная с сердечной недостаточностью различной степени выраженности и повышенным риском тромбоэмболических осложнений, включая инсульт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b. ХСН - появление одышки, слабости, утомляемости, в сочетании, пресинкопы и синкопы, аритмии. Нарастание тяжести ХСН до III - IV ФК (NYHA) при сохраненной систолической функции ЛЖ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c. Синдром стенокардии (в том числе атипичный болевой синдром) или безболевая ишемия. Ишемия миокарда при ГКМП может осложняться ИМ 2 типа.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5. Симптомное течение с негативным ремоделированием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а) "Конечная стадия": дальнейшее прогрессирование явлений застойной сердечной недостаточности, связанной с негативным ремоделированием и выраженной систолической и/или диастолической дисфункцией ЛЖ (фенотипы ГКМП + ДКМП или ГКМП + РКМП).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б) Развитие верхушечной аневризмы ЛЖ - при обструкции средней части полости ЛЖ (редкий вариант течения ГКМП).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Формализованный подход, предложенный Rowin E.J., Maron M.S. и соавт. </w:t>
      </w:r>
      <w:hyperlink w:anchor="P1174">
        <w:r>
          <w:rPr>
            <w:color w:val="0000FF"/>
          </w:rPr>
          <w:t>[140]</w:t>
        </w:r>
      </w:hyperlink>
      <w:r>
        <w:t>, к оценке вариантов клинического течения предлагает учитывать у пациента одного и более одного синдрома (ХСН + ФП), (ХСН + ВСС), (ФП + ВСС), (ХСН + ФП + ВСС) и использование термина "прогрессирующее течение симптомной ГКМП".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Основные клинико-морфологические варианты течения и исходы заболевания при ГКМП представлены в </w:t>
      </w:r>
      <w:hyperlink w:anchor="P2195">
        <w:r>
          <w:rPr>
            <w:color w:val="0000FF"/>
          </w:rPr>
          <w:t>таблице П13</w:t>
        </w:r>
      </w:hyperlink>
      <w:r>
        <w:t>, Приложение Г1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58">
        <w:r>
          <w:rPr>
            <w:color w:val="0000FF"/>
          </w:rPr>
          <w:t>24</w:t>
        </w:r>
      </w:hyperlink>
      <w:r>
        <w:t xml:space="preserve">, </w:t>
      </w:r>
      <w:hyperlink w:anchor="P1063">
        <w:r>
          <w:rPr>
            <w:color w:val="0000FF"/>
          </w:rPr>
          <w:t>29</w:t>
        </w:r>
      </w:hyperlink>
      <w:r>
        <w:t xml:space="preserve">, </w:t>
      </w:r>
      <w:hyperlink w:anchor="P1068">
        <w:r>
          <w:rPr>
            <w:color w:val="0000FF"/>
          </w:rPr>
          <w:t>34</w:t>
        </w:r>
      </w:hyperlink>
      <w:r>
        <w:t xml:space="preserve">, </w:t>
      </w:r>
      <w:hyperlink w:anchor="P1131">
        <w:r>
          <w:rPr>
            <w:color w:val="0000FF"/>
          </w:rPr>
          <w:t>97</w:t>
        </w:r>
      </w:hyperlink>
      <w:r>
        <w:t xml:space="preserve">, </w:t>
      </w:r>
      <w:hyperlink w:anchor="P1132">
        <w:r>
          <w:rPr>
            <w:color w:val="0000FF"/>
          </w:rPr>
          <w:t>98</w:t>
        </w:r>
      </w:hyperlink>
      <w:r>
        <w:t xml:space="preserve">, </w:t>
      </w:r>
      <w:hyperlink w:anchor="P1150">
        <w:r>
          <w:rPr>
            <w:color w:val="0000FF"/>
          </w:rPr>
          <w:t>116</w:t>
        </w:r>
      </w:hyperlink>
      <w:r>
        <w:t xml:space="preserve">, </w:t>
      </w:r>
      <w:hyperlink w:anchor="P1172">
        <w:r>
          <w:rPr>
            <w:color w:val="0000FF"/>
          </w:rPr>
          <w:t>138</w:t>
        </w:r>
      </w:hyperlink>
      <w:r>
        <w:t xml:space="preserve">, </w:t>
      </w:r>
      <w:hyperlink w:anchor="P1174">
        <w:r>
          <w:rPr>
            <w:color w:val="0000FF"/>
          </w:rPr>
          <w:t>140</w:t>
        </w:r>
      </w:hyperlink>
      <w:r>
        <w:t xml:space="preserve"> - </w:t>
      </w:r>
      <w:hyperlink w:anchor="P1185">
        <w:r>
          <w:rPr>
            <w:color w:val="0000FF"/>
          </w:rPr>
          <w:t>151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bookmarkStart w:id="2" w:name="P274"/>
      <w:bookmarkEnd w:id="2"/>
      <w:r>
        <w:t>2. Диагностика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Критерии диагноза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Критерием диагноза ГКМП у взрослых является увеличение толщины стенки ЛЖ в одном или более сегментах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15 мм (определяемое любым визуализирующим методом - ЭХОКГ/МРТ/КТ), которая не объясняется исключительно увеличением нагрузки давлением. У родственников пробанда критерием диагноза ГКМП является толщина стенки ЛЖ, равная 13 - 14 мм </w:t>
      </w:r>
      <w:hyperlink w:anchor="P1038">
        <w:r>
          <w:rPr>
            <w:color w:val="0000FF"/>
          </w:rPr>
          <w:t>[4]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Диагностика может быть затруднена в ситуациях сочетания ГКМП и АГ, у спортсменов и др. </w:t>
      </w:r>
      <w:r>
        <w:lastRenderedPageBreak/>
        <w:t>Также диагноз ГКМП требует исключения фенокопий ГКМП (см. раздел "ГКМП и АГ").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Критерием вовлечения ПЖ при ГКМП является увеличение толщины стенки ПЖ &gt; 5 мм, а толщина миокарда ПЖ &gt; 10 мм считается экстремальной ГПЖ [</w:t>
      </w:r>
      <w:hyperlink w:anchor="P1168">
        <w:r>
          <w:rPr>
            <w:color w:val="0000FF"/>
          </w:rPr>
          <w:t>134</w:t>
        </w:r>
      </w:hyperlink>
      <w:r>
        <w:t xml:space="preserve">, </w:t>
      </w:r>
      <w:hyperlink w:anchor="P1186">
        <w:r>
          <w:rPr>
            <w:color w:val="0000FF"/>
          </w:rPr>
          <w:t>152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Критерием диагноза обструктивной ГКМП большинство европейских исследователей считает ГД в ВТЛЖ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30 мм рт. ст., в покое или провоцируемый. ГД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 мм рт. ст. считается критерием гемодинамически значимой обструкции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87">
        <w:r>
          <w:rPr>
            <w:color w:val="0000FF"/>
          </w:rPr>
          <w:t>153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Американские исследователи критерием диагноза обструктивной ГКМП считают ГД в ВТЛЖ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 мм рт. ст., в покое или провоцируемый. Для провокации предлагается нагрузочная проба, а не проба Вальсальвы, т.к. было показано, что проба Вальсальвы не обладает достаточной чувствительностью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88">
        <w:r>
          <w:rPr>
            <w:color w:val="0000FF"/>
          </w:rPr>
          <w:t>154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ГКМП, кроме субаортальной обструкции, может наблюдаться среднежелудочковая обструкция (изолированная или в сочетании с субаортальной). Критерия ГД для среднежелудочковой обструкции не выработано.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Критерием обструкции ВТПЖ считается увеличение ГД в ВТПЖ &gt; 16 мм рт. ст. в покое </w:t>
      </w:r>
      <w:hyperlink w:anchor="P1138">
        <w:r>
          <w:rPr>
            <w:color w:val="0000FF"/>
          </w:rPr>
          <w:t>[104]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2.1 Жалобы и анамнез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У всех пациентов рекомендован детальный анализ жалоб и анамнеза [</w:t>
      </w:r>
      <w:hyperlink w:anchor="P1035">
        <w:r>
          <w:rPr>
            <w:color w:val="0000FF"/>
          </w:rPr>
          <w:t>1</w:t>
        </w:r>
      </w:hyperlink>
      <w:r>
        <w:t xml:space="preserve">, 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13">
        <w:r>
          <w:rPr>
            <w:color w:val="0000FF"/>
          </w:rPr>
          <w:t>79</w:t>
        </w:r>
      </w:hyperlink>
      <w:r>
        <w:t xml:space="preserve">, </w:t>
      </w:r>
      <w:hyperlink w:anchor="P1189">
        <w:r>
          <w:rPr>
            <w:color w:val="0000FF"/>
          </w:rPr>
          <w:t>155</w:t>
        </w:r>
      </w:hyperlink>
      <w:r>
        <w:t xml:space="preserve">, </w:t>
      </w:r>
      <w:hyperlink w:anchor="P1190">
        <w:r>
          <w:rPr>
            <w:color w:val="0000FF"/>
          </w:rPr>
          <w:t>156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нет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многие пациенты не имеют жалоб или они малозначительны. В таких случаях диагноз ставится случайно или по результатам скрининга.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Должен быть решен вопрос об отличии истинного отсутствия симптомов от адаптации за счет образа жизни, путем проведения теста с максимальной переносимой физической нагрузкой и оценки биомаркеров ХСН в динамике.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развернутой стадии заболевания при ГКМП наиболее частыми жалобами являются одышка, снижение толерантности к ФН, разнообразные болевые ощущения в грудной клетке кардиалгического и/или стенокардитического характера, нарушения ритма сердечной деятельности (перебои, учащенное сердцебиение), головокружение, пресинкопы и синкопы.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Важно помнить, что манифестация клинических проявлений ГКМП в молодом и пожилом возрасте имеет существенные различия.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Молодой возраст ассоциирован с семейной формой заболевания и является важной детерминантой тяжести течения, риска нежелательных кардиоваскулярных событий, доказанным фактором риска ВСС.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Необходимо учитывать все, в том числе дополнительные "новые", факторы риска ВСС, особенно у носителей патогенных вариантов, в том числе у родственников пробанда - генотип(+)/фенотип(-) (см. соотв. разделы)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сборе семейного анамнеза обращают внимание на то, были ли у родственников указания на ВСС, ХСН, синкопальные состояния, имплантированные ЭКС, инсульт в молодом возрасте и другие системные заболевания.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Пожилой возраст ассоциирован с несемейной формой заболевания и коморбидностью (АГ, ИМТ/ожирение, дислипидемия, ИБС).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lastRenderedPageBreak/>
        <w:t>2.2 Физикальное обследование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У всех пациентов рекомендуется стандартное физикальное обследование сердечно-сосудистой системы, включающее аускультацию сердца, измерение АД (при необходимости - повторное, а также лежа, сидя, стоя), пальпацию пульса, измерение ЧСС (при ФП - дефицит пульса)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91">
        <w:r>
          <w:rPr>
            <w:color w:val="0000FF"/>
          </w:rPr>
          <w:t>157</w:t>
        </w:r>
      </w:hyperlink>
      <w:r>
        <w:t xml:space="preserve"> - </w:t>
      </w:r>
      <w:hyperlink w:anchor="P1195">
        <w:r>
          <w:rPr>
            <w:color w:val="0000FF"/>
          </w:rPr>
          <w:t>161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УДД 5 УУР </w:t>
      </w:r>
      <w:hyperlink w:anchor="P1561">
        <w:r>
          <w:rPr>
            <w:color w:val="0000FF"/>
          </w:rPr>
          <w:t>C</w:t>
        </w:r>
      </w:hyperlink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основной диагностический признак обструктивной ГКМП - грубый систолический шум выброса, который выявляют над всей поверхностью сердца, с максимумом на верхушке и в четвертом межреберье слева от грудины. Систолический шум - низкочастотный, носит характер крещендо-декрещендо, выслушивается вдоль левого края грудины и усиливается под воздействием факторов, увеличивающих внутрижелудочковый градиент давления: переход в вертикальное положение, динамическая физическая нагрузка, тахикардия, прием пищи, проба Вальсальвы, прием периферических вазодилататоров.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Большинство пациентов с обструкцией ВТЛЖ также имеют аускультативные признаки митральной регургитации. Со стороны других систем и органов при ГКМП обычно клинически значимых отклонений нет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91">
        <w:r>
          <w:rPr>
            <w:color w:val="0000FF"/>
          </w:rPr>
          <w:t>157</w:t>
        </w:r>
      </w:hyperlink>
      <w:r>
        <w:t xml:space="preserve">, </w:t>
      </w:r>
      <w:hyperlink w:anchor="P1196">
        <w:r>
          <w:rPr>
            <w:color w:val="0000FF"/>
          </w:rPr>
          <w:t>162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У пациентов с обструкцией ВТЛЖ часто выявляется неустойчивость артериального пульса (значительные колебания ЧСС в ортостазе и клиностазе, во время бодрствования и сна).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Рекомендуется обратить внимание на внесердечные проявления заболевания, указывающие на фенокопии ГКМП [</w:t>
      </w:r>
      <w:hyperlink w:anchor="P1071">
        <w:r>
          <w:rPr>
            <w:color w:val="0000FF"/>
          </w:rPr>
          <w:t>37</w:t>
        </w:r>
      </w:hyperlink>
      <w:r>
        <w:t xml:space="preserve">, </w:t>
      </w:r>
      <w:hyperlink w:anchor="P1077">
        <w:r>
          <w:rPr>
            <w:color w:val="0000FF"/>
          </w:rPr>
          <w:t>43</w:t>
        </w:r>
      </w:hyperlink>
      <w:r>
        <w:t xml:space="preserve">, </w:t>
      </w:r>
      <w:hyperlink w:anchor="P1078">
        <w:r>
          <w:rPr>
            <w:color w:val="0000FF"/>
          </w:rPr>
          <w:t>44</w:t>
        </w:r>
      </w:hyperlink>
      <w:r>
        <w:t xml:space="preserve">, </w:t>
      </w:r>
      <w:hyperlink w:anchor="P1080">
        <w:r>
          <w:rPr>
            <w:color w:val="0000FF"/>
          </w:rPr>
          <w:t>46</w:t>
        </w:r>
      </w:hyperlink>
      <w:r>
        <w:t xml:space="preserve">, </w:t>
      </w:r>
      <w:hyperlink w:anchor="P1081">
        <w:r>
          <w:rPr>
            <w:color w:val="0000FF"/>
          </w:rPr>
          <w:t>47</w:t>
        </w:r>
      </w:hyperlink>
      <w:r>
        <w:t xml:space="preserve">, </w:t>
      </w:r>
      <w:hyperlink w:anchor="P1083">
        <w:r>
          <w:rPr>
            <w:color w:val="0000FF"/>
          </w:rPr>
          <w:t>49</w:t>
        </w:r>
      </w:hyperlink>
      <w:r>
        <w:t xml:space="preserve"> - </w:t>
      </w:r>
      <w:hyperlink w:anchor="P1085">
        <w:r>
          <w:rPr>
            <w:color w:val="0000FF"/>
          </w:rPr>
          <w:t>51</w:t>
        </w:r>
      </w:hyperlink>
      <w:r>
        <w:t xml:space="preserve">, </w:t>
      </w:r>
      <w:hyperlink w:anchor="P1092">
        <w:r>
          <w:rPr>
            <w:color w:val="0000FF"/>
          </w:rPr>
          <w:t>58</w:t>
        </w:r>
      </w:hyperlink>
      <w:r>
        <w:t xml:space="preserve"> - </w:t>
      </w:r>
      <w:hyperlink w:anchor="P1094">
        <w:r>
          <w:rPr>
            <w:color w:val="0000FF"/>
          </w:rPr>
          <w:t>60</w:t>
        </w:r>
      </w:hyperlink>
      <w:r>
        <w:t xml:space="preserve">, </w:t>
      </w:r>
      <w:hyperlink w:anchor="P1197">
        <w:r>
          <w:rPr>
            <w:color w:val="0000FF"/>
          </w:rPr>
          <w:t>163</w:t>
        </w:r>
      </w:hyperlink>
      <w:r>
        <w:t xml:space="preserve"> - </w:t>
      </w:r>
      <w:hyperlink w:anchor="P1200">
        <w:r>
          <w:rPr>
            <w:color w:val="0000FF"/>
          </w:rPr>
          <w:t>166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2.3 Лабораторные диагностические исследования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У всех пациентов с ГКМП для выявления сопутствующих заболеваний рекомендуется рутинное лабораторное обследование, включающее клинический анализ крови и общий анализ мочи, биохимический анализ крови (холестерин, триглицериды, калий, натрий, АСТ, АЛТ, мочевина, креатинин, билирубин, глюкоза)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201">
        <w:r>
          <w:rPr>
            <w:color w:val="0000FF"/>
          </w:rPr>
          <w:t>167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УДД 5 УУР </w:t>
      </w:r>
      <w:hyperlink w:anchor="P1561">
        <w:r>
          <w:rPr>
            <w:color w:val="0000FF"/>
          </w:rPr>
          <w:t>C</w:t>
        </w:r>
      </w:hyperlink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рутинное лабораторное обследование помогает выявить сопутствующие заболевания, которые могут вызвать или усугубить миокардиальную дисфункцию и состояние пациента.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Определение концентрации N-терминального про-мозгового натрийуретического пептида (Nt-proBNP) и высокоспецифичного сердечного тропонина в плазме не входит в рутинное лабораторное обследование, однако их высокие уровни ассоциированы с выраженностью ДД, ГЛЖ, тяжестью функциональных нарушений (ишемии миокарда, прогрессирование ХСН) и неблагоприятным прогнозом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66">
        <w:r>
          <w:rPr>
            <w:color w:val="0000FF"/>
          </w:rPr>
          <w:t>32</w:t>
        </w:r>
      </w:hyperlink>
      <w:r>
        <w:t xml:space="preserve">, </w:t>
      </w:r>
      <w:hyperlink w:anchor="P1068">
        <w:r>
          <w:rPr>
            <w:color w:val="0000FF"/>
          </w:rPr>
          <w:t>34</w:t>
        </w:r>
      </w:hyperlink>
      <w:r>
        <w:t xml:space="preserve">, </w:t>
      </w:r>
      <w:hyperlink w:anchor="P1126">
        <w:r>
          <w:rPr>
            <w:color w:val="0000FF"/>
          </w:rPr>
          <w:t>92</w:t>
        </w:r>
      </w:hyperlink>
      <w:r>
        <w:t xml:space="preserve">, </w:t>
      </w:r>
      <w:hyperlink w:anchor="P1130">
        <w:r>
          <w:rPr>
            <w:color w:val="0000FF"/>
          </w:rPr>
          <w:t>96</w:t>
        </w:r>
      </w:hyperlink>
      <w:r>
        <w:t xml:space="preserve">, </w:t>
      </w:r>
      <w:hyperlink w:anchor="P1175">
        <w:r>
          <w:rPr>
            <w:color w:val="0000FF"/>
          </w:rPr>
          <w:t>141</w:t>
        </w:r>
      </w:hyperlink>
      <w:r>
        <w:t xml:space="preserve">, </w:t>
      </w:r>
      <w:hyperlink w:anchor="P1202">
        <w:r>
          <w:rPr>
            <w:color w:val="0000FF"/>
          </w:rPr>
          <w:t>168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При подозрении на конкретную фенокопию ГКМП с целью проведения дифференциального диагноза рекомендуется специальное лабораторное обследование.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78">
        <w:r>
          <w:rPr>
            <w:color w:val="0000FF"/>
          </w:rPr>
          <w:t>44</w:t>
        </w:r>
      </w:hyperlink>
      <w:r>
        <w:t xml:space="preserve">, </w:t>
      </w:r>
      <w:hyperlink w:anchor="P1080">
        <w:r>
          <w:rPr>
            <w:color w:val="0000FF"/>
          </w:rPr>
          <w:t>46</w:t>
        </w:r>
      </w:hyperlink>
      <w:r>
        <w:t xml:space="preserve">, </w:t>
      </w:r>
      <w:hyperlink w:anchor="P1081">
        <w:r>
          <w:rPr>
            <w:color w:val="0000FF"/>
          </w:rPr>
          <w:t>47</w:t>
        </w:r>
      </w:hyperlink>
      <w:r>
        <w:t xml:space="preserve">, </w:t>
      </w:r>
      <w:hyperlink w:anchor="P1093">
        <w:r>
          <w:rPr>
            <w:color w:val="0000FF"/>
          </w:rPr>
          <w:t>59</w:t>
        </w:r>
      </w:hyperlink>
      <w:r>
        <w:t xml:space="preserve">, </w:t>
      </w:r>
      <w:hyperlink w:anchor="P1094">
        <w:r>
          <w:rPr>
            <w:color w:val="0000FF"/>
          </w:rPr>
          <w:t>60</w:t>
        </w:r>
      </w:hyperlink>
      <w:r>
        <w:t xml:space="preserve">, </w:t>
      </w:r>
      <w:hyperlink w:anchor="P1098">
        <w:r>
          <w:rPr>
            <w:color w:val="0000FF"/>
          </w:rPr>
          <w:t>64</w:t>
        </w:r>
      </w:hyperlink>
      <w:r>
        <w:t xml:space="preserve">, </w:t>
      </w:r>
      <w:hyperlink w:anchor="P1126">
        <w:r>
          <w:rPr>
            <w:color w:val="0000FF"/>
          </w:rPr>
          <w:t>92</w:t>
        </w:r>
      </w:hyperlink>
      <w:r>
        <w:t xml:space="preserve">, </w:t>
      </w:r>
      <w:hyperlink w:anchor="P1197">
        <w:r>
          <w:rPr>
            <w:color w:val="0000FF"/>
          </w:rPr>
          <w:t>163</w:t>
        </w:r>
      </w:hyperlink>
      <w:r>
        <w:t xml:space="preserve">, </w:t>
      </w:r>
      <w:hyperlink w:anchor="P1203">
        <w:r>
          <w:rPr>
            <w:color w:val="0000FF"/>
          </w:rPr>
          <w:t>169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1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некоторые показатели, позволяющие предположить конкретный диагноз фенокопии ГКМП, приведены в </w:t>
      </w:r>
      <w:hyperlink w:anchor="P1938">
        <w:r>
          <w:rPr>
            <w:color w:val="0000FF"/>
          </w:rPr>
          <w:t>таблице П1</w:t>
        </w:r>
      </w:hyperlink>
      <w:r>
        <w:t>, Приложение Г1.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ГКМП - это диагноз исключения. Фенокопии, вторичные и специфические причины ГЛЖ и ГПЖ должны быть исключены.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Стратегия генетического тестирования и семейного скрининга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Медико-генетическое консультирование рекомендовано проводить профессионалами, обученными в этой специальной области и работающими в мультидисциплинарной команде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64">
        <w:r>
          <w:rPr>
            <w:color w:val="0000FF"/>
          </w:rPr>
          <w:t>30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Медико-генетическое консультирование рекомендовано проводить всем пациентам с ГКМП с целью выявления причинной мутации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7">
        <w:r>
          <w:rPr>
            <w:color w:val="0000FF"/>
          </w:rPr>
          <w:t>4</w:t>
        </w:r>
      </w:hyperlink>
      <w:r>
        <w:t xml:space="preserve">, </w:t>
      </w:r>
      <w:hyperlink w:anchor="P1052">
        <w:r>
          <w:rPr>
            <w:color w:val="0000FF"/>
          </w:rPr>
          <w:t>18</w:t>
        </w:r>
      </w:hyperlink>
      <w:r>
        <w:t xml:space="preserve">, </w:t>
      </w:r>
      <w:hyperlink w:anchor="P1051">
        <w:r>
          <w:rPr>
            <w:color w:val="0000FF"/>
          </w:rPr>
          <w:t>17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064">
        <w:r>
          <w:rPr>
            <w:color w:val="0000FF"/>
          </w:rPr>
          <w:t>30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150">
        <w:r>
          <w:rPr>
            <w:color w:val="0000FF"/>
          </w:rPr>
          <w:t>116</w:t>
        </w:r>
      </w:hyperlink>
      <w:r>
        <w:t xml:space="preserve">, </w:t>
      </w:r>
      <w:hyperlink w:anchor="P1204">
        <w:r>
          <w:rPr>
            <w:color w:val="0000FF"/>
          </w:rPr>
          <w:t>170</w:t>
        </w:r>
      </w:hyperlink>
      <w:r>
        <w:t xml:space="preserve"> - </w:t>
      </w:r>
      <w:hyperlink w:anchor="P1207">
        <w:r>
          <w:rPr>
            <w:color w:val="0000FF"/>
          </w:rPr>
          <w:t>173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все пациенты должны быть полноценно осведомлены о смысле и значимости скрининга, возможных его результатах, их клиническом значении, а также в целом о вопросах наследственности сердечно-сосудистых заболеваний.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Рекомендации по генетическому тестированию пробандов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Рекомендуется, чтобы генетическое тестирование выполнялось в сертифицированных диагностических лабораториях с экспертными навыками в интерпретации мутаций, связанных с кардиомиопатиями [</w:t>
      </w:r>
      <w:hyperlink w:anchor="P1051">
        <w:r>
          <w:rPr>
            <w:color w:val="0000FF"/>
          </w:rPr>
          <w:t>17</w:t>
        </w:r>
      </w:hyperlink>
      <w:r>
        <w:t xml:space="preserve">, </w:t>
      </w:r>
      <w:hyperlink w:anchor="P1053">
        <w:r>
          <w:rPr>
            <w:color w:val="0000FF"/>
          </w:rPr>
          <w:t>19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064">
        <w:r>
          <w:rPr>
            <w:color w:val="0000FF"/>
          </w:rPr>
          <w:t>30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150">
        <w:r>
          <w:rPr>
            <w:color w:val="0000FF"/>
          </w:rPr>
          <w:t>116</w:t>
        </w:r>
      </w:hyperlink>
      <w:r>
        <w:t xml:space="preserve">, </w:t>
      </w:r>
      <w:hyperlink w:anchor="P1205">
        <w:r>
          <w:rPr>
            <w:color w:val="0000FF"/>
          </w:rPr>
          <w:t>171</w:t>
        </w:r>
      </w:hyperlink>
      <w:r>
        <w:t xml:space="preserve">, </w:t>
      </w:r>
      <w:hyperlink w:anchor="P1206">
        <w:r>
          <w:rPr>
            <w:color w:val="0000FF"/>
          </w:rPr>
          <w:t>172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При подозрении на конкретную фенокопию ГКМП с целью проведения дифференциального диагноза рекомендуется генетическое тестирование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52">
        <w:r>
          <w:rPr>
            <w:color w:val="0000FF"/>
          </w:rPr>
          <w:t>18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064">
        <w:r>
          <w:rPr>
            <w:color w:val="0000FF"/>
          </w:rPr>
          <w:t>30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080">
        <w:r>
          <w:rPr>
            <w:color w:val="0000FF"/>
          </w:rPr>
          <w:t>46</w:t>
        </w:r>
      </w:hyperlink>
      <w:r>
        <w:t xml:space="preserve">, </w:t>
      </w:r>
      <w:hyperlink w:anchor="P1085">
        <w:r>
          <w:rPr>
            <w:color w:val="0000FF"/>
          </w:rPr>
          <w:t>51</w:t>
        </w:r>
      </w:hyperlink>
      <w:r>
        <w:t xml:space="preserve">, </w:t>
      </w:r>
      <w:hyperlink w:anchor="P1093">
        <w:r>
          <w:rPr>
            <w:color w:val="0000FF"/>
          </w:rPr>
          <w:t>59</w:t>
        </w:r>
      </w:hyperlink>
      <w:r>
        <w:t xml:space="preserve">, </w:t>
      </w:r>
      <w:hyperlink w:anchor="P1094">
        <w:r>
          <w:rPr>
            <w:color w:val="0000FF"/>
          </w:rPr>
          <w:t>60</w:t>
        </w:r>
      </w:hyperlink>
      <w:r>
        <w:t xml:space="preserve">, </w:t>
      </w:r>
      <w:hyperlink w:anchor="P1205">
        <w:r>
          <w:rPr>
            <w:color w:val="0000FF"/>
          </w:rPr>
          <w:t>171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5,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генетическое тестирование у пациентов с ГЛЖ неясного генеза и толщиной стенки 13 - 14 мм рекомендовано проводить только после детального обследования (включая МРТ с контрастированием) и консилиума мультидисциплинарной командой специалистов.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Посмертное генетическое исследование образцов законсервированных тканей или ДНК рекомендовано проводить для умерших пациентов с патоморфологически подтвержденной ГКМП, чтобы иметь возможность выполнить каскадный генетический скрининг родственников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064">
        <w:r>
          <w:rPr>
            <w:color w:val="0000FF"/>
          </w:rPr>
          <w:t>30</w:t>
        </w:r>
      </w:hyperlink>
      <w:r>
        <w:t xml:space="preserve">, </w:t>
      </w:r>
      <w:hyperlink w:anchor="P1197">
        <w:r>
          <w:rPr>
            <w:color w:val="0000FF"/>
          </w:rPr>
          <w:t>163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проведение генетического скрининга при ГКМП может носить диагностический и предиктивный характер.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первом случае генетическая диагностика является частью инструментов диагностического поиска и призвана помочь в подтверждении диагноза ГКМП при наличии стертой или неполной клинической картины, а также при наличии системных проявлений заболевания или для исключения фенокопий ГКМП [</w:t>
      </w:r>
      <w:hyperlink w:anchor="P1035">
        <w:r>
          <w:rPr>
            <w:color w:val="0000FF"/>
          </w:rPr>
          <w:t>1</w:t>
        </w:r>
      </w:hyperlink>
      <w:r>
        <w:t xml:space="preserve"> -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48">
        <w:r>
          <w:rPr>
            <w:color w:val="0000FF"/>
          </w:rPr>
          <w:t>14</w:t>
        </w:r>
      </w:hyperlink>
      <w:r>
        <w:t xml:space="preserve">, </w:t>
      </w:r>
      <w:hyperlink w:anchor="P1049">
        <w:r>
          <w:rPr>
            <w:color w:val="0000FF"/>
          </w:rPr>
          <w:t>15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Оценка вклада конкретного генетического варианта должна проводиться в соответствии с рекомендациями Американской коллегии медицинской генетики (American College of Medical Genetics and Genomics - ACMG) от 2015 года, отечественными рекомендациями, разработанными </w:t>
      </w:r>
      <w:r>
        <w:lastRenderedPageBreak/>
        <w:t xml:space="preserve">на их основе, а также рядом их модификаций и дополнений, разработанных для отдельно взятых генов </w:t>
      </w:r>
      <w:hyperlink w:anchor="P1064">
        <w:r>
          <w:rPr>
            <w:color w:val="0000FF"/>
          </w:rPr>
          <w:t>[30]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При ГКМП, в дополнение к вышеперечисленным источникам, обязательным документом для интерпретации результатов генетического исследования является руководство по оценке вариантов в гене MYH7 </w:t>
      </w:r>
      <w:hyperlink w:anchor="P1042">
        <w:r>
          <w:rPr>
            <w:color w:val="0000FF"/>
          </w:rPr>
          <w:t>[8]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Оценка патогенной значимости выявленных вариантов должна происходить с обязательным использованием международных баз данных о частоте и патогенной роли генетических вариантов, таких как Clinvar, ClinGen, Varsome, Exac, and Gnomad [</w:t>
      </w:r>
      <w:hyperlink w:anchor="P1056">
        <w:r>
          <w:rPr>
            <w:color w:val="0000FF"/>
          </w:rPr>
          <w:t>22</w:t>
        </w:r>
      </w:hyperlink>
      <w:r>
        <w:t xml:space="preserve">, </w:t>
      </w:r>
      <w:hyperlink w:anchor="P1057">
        <w:r>
          <w:rPr>
            <w:color w:val="0000FF"/>
          </w:rPr>
          <w:t>23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Рекомендации по генетическому и клиническому тестированию взрослых родственников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Каскадный генетический скрининг после предварительного медико-генетического консультирования рекомендуется взрослым родственникам первой степени родства пациентов, имеющих явную патогенную мутацию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42">
        <w:r>
          <w:rPr>
            <w:color w:val="0000FF"/>
          </w:rPr>
          <w:t>8</w:t>
        </w:r>
      </w:hyperlink>
      <w:r>
        <w:t xml:space="preserve">, </w:t>
      </w:r>
      <w:hyperlink w:anchor="P1052">
        <w:r>
          <w:rPr>
            <w:color w:val="0000FF"/>
          </w:rPr>
          <w:t>18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208">
        <w:r>
          <w:rPr>
            <w:color w:val="0000FF"/>
          </w:rPr>
          <w:t>174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Клиническое обследование, включающее ЭКГ, ЭХОКГ и длительное динамическое наблюдение рекомендовано родственникам первой степени родства, у которых выявлена та же явная патогенная мутация, что и у пробанда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52">
        <w:r>
          <w:rPr>
            <w:color w:val="0000FF"/>
          </w:rPr>
          <w:t>18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183">
        <w:r>
          <w:rPr>
            <w:color w:val="0000FF"/>
          </w:rPr>
          <w:t>149</w:t>
        </w:r>
      </w:hyperlink>
      <w:r>
        <w:t xml:space="preserve">, </w:t>
      </w:r>
      <w:hyperlink w:anchor="P1184">
        <w:r>
          <w:rPr>
            <w:color w:val="0000FF"/>
          </w:rPr>
          <w:t>150</w:t>
        </w:r>
      </w:hyperlink>
      <w:r>
        <w:t xml:space="preserve">, </w:t>
      </w:r>
      <w:hyperlink w:anchor="P1206">
        <w:r>
          <w:rPr>
            <w:color w:val="0000FF"/>
          </w:rPr>
          <w:t>172</w:t>
        </w:r>
      </w:hyperlink>
      <w:r>
        <w:t xml:space="preserve">, </w:t>
      </w:r>
      <w:hyperlink w:anchor="P1208">
        <w:r>
          <w:rPr>
            <w:color w:val="0000FF"/>
          </w:rPr>
          <w:t>174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Родственников первой степени родства, у которых не выявлена та же явная патогенная мутация, что и у пробанда, рекомендуется вывести из дальнейшего динамического наблюдения, но с рекомендацией обратиться за повторным обследованием, если у них разовьются симптомы или появятся новые релевантные данные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062">
        <w:r>
          <w:rPr>
            <w:color w:val="0000FF"/>
          </w:rPr>
          <w:t>28</w:t>
        </w:r>
      </w:hyperlink>
      <w:r>
        <w:t xml:space="preserve">, </w:t>
      </w:r>
      <w:hyperlink w:anchor="P1204">
        <w:r>
          <w:rPr>
            <w:color w:val="0000FF"/>
          </w:rPr>
          <w:t>170</w:t>
        </w:r>
      </w:hyperlink>
      <w:r>
        <w:t xml:space="preserve">, </w:t>
      </w:r>
      <w:hyperlink w:anchor="P1208">
        <w:r>
          <w:rPr>
            <w:color w:val="0000FF"/>
          </w:rPr>
          <w:t>174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Если явной патогенной мутации у пробанда не выявлено или генетический скрининг не проводился, клиническое обследование с ЭКГ и ЭХОКГ рекомендовано предложить родственникам первой степени родства каждые 2 - 5 лет (или 6 - 12 месяцев, если имеются диагностически незначимые аномалии)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208">
        <w:r>
          <w:rPr>
            <w:color w:val="0000FF"/>
          </w:rPr>
          <w:t>174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предиктивный генетический скрининг основан на использовании информации о конкретной генетической причине заболевания, идентифицированной у пробанда, для определения носительства данного варианта у его родственников. Целью данного скрининга является определение необходимости регулярной диспансеризации и прицельного клинического наблюдения в случае носительства патогенного варианта, а также исключение необходимости такого скрининга при отсутствии носительства патогенного варианта.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При проведении каскадного скрининга членов семьи пробанда рекомендуется сочетать его с клиническим обследованием сердечно-сосудистой системы (анамнестические данные, объективный осмотр, ЭКГ и ЭХОКГ - см. </w:t>
      </w:r>
      <w:hyperlink w:anchor="P2147">
        <w:r>
          <w:rPr>
            <w:color w:val="0000FF"/>
          </w:rPr>
          <w:t>таблицу П8</w:t>
        </w:r>
      </w:hyperlink>
      <w:r>
        <w:t xml:space="preserve">, Приложение Г1) для определения сегрегации выявленного варианта с фенотипом заболевания или для исключения данной сегрегации. Данная информация может быть важна при оценке степени патогенности выявленных вариантов и их классификации в соответствие с критериями Американской коллегии медицинской генетики (American College of Medical Genetics and Genomics - ACMG) </w:t>
      </w:r>
      <w:hyperlink w:anchor="P1056">
        <w:r>
          <w:rPr>
            <w:color w:val="0000FF"/>
          </w:rPr>
          <w:t>[22]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Существует "балльная модель" прогнозирования вероятности обнаружения генетических вариантов в генах, наиболее распространенных при ГКМП, которая включает возраст пациента, </w:t>
      </w:r>
      <w:r>
        <w:lastRenderedPageBreak/>
        <w:t xml:space="preserve">женский пол, наличие артериальной гипертензии, морфологию МЖП по типу "reverse curve" и соотношение толщины МЖП/ЗСЛЖ. Сумма баллов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 предсказывает низкую вероятность обнаружения генетических вариантов в причинных генах, наиболее распространенных при ГКМП (</w:t>
      </w:r>
      <w:hyperlink w:anchor="P2207">
        <w:r>
          <w:rPr>
            <w:color w:val="0000FF"/>
          </w:rPr>
          <w:t>таблица П1</w:t>
        </w:r>
      </w:hyperlink>
      <w:r>
        <w:t>, Приложение Г2) [</w:t>
      </w:r>
      <w:hyperlink w:anchor="P1042">
        <w:r>
          <w:rPr>
            <w:color w:val="0000FF"/>
          </w:rPr>
          <w:t>8</w:t>
        </w:r>
      </w:hyperlink>
      <w:r>
        <w:t xml:space="preserve">, </w:t>
      </w:r>
      <w:hyperlink w:anchor="P1063">
        <w:r>
          <w:rPr>
            <w:color w:val="0000FF"/>
          </w:rPr>
          <w:t>29</w:t>
        </w:r>
      </w:hyperlink>
      <w:r>
        <w:t xml:space="preserve">, </w:t>
      </w:r>
      <w:hyperlink w:anchor="P1127">
        <w:r>
          <w:rPr>
            <w:color w:val="0000FF"/>
          </w:rPr>
          <w:t>93</w:t>
        </w:r>
      </w:hyperlink>
      <w:r>
        <w:t xml:space="preserve">, </w:t>
      </w:r>
      <w:hyperlink w:anchor="P1178">
        <w:r>
          <w:rPr>
            <w:color w:val="0000FF"/>
          </w:rPr>
          <w:t>144</w:t>
        </w:r>
      </w:hyperlink>
      <w:r>
        <w:t xml:space="preserve">, </w:t>
      </w:r>
      <w:hyperlink w:anchor="P1204">
        <w:r>
          <w:rPr>
            <w:color w:val="0000FF"/>
          </w:rPr>
          <w:t>170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2.4 Инструментальные диагностические исследования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Электрокардиография и мониторирование ЭКГ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Проведение ЭКГ (в 12 отведениях) рекомендуется при первичном обследовании всех пациентов с подозрением на ГКМП и в процессе динамического наблюдения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94">
        <w:r>
          <w:rPr>
            <w:color w:val="0000FF"/>
          </w:rPr>
          <w:t>160</w:t>
        </w:r>
      </w:hyperlink>
      <w:r>
        <w:t xml:space="preserve">, </w:t>
      </w:r>
      <w:hyperlink w:anchor="P1210">
        <w:r>
          <w:rPr>
            <w:color w:val="0000FF"/>
          </w:rPr>
          <w:t>176</w:t>
        </w:r>
      </w:hyperlink>
      <w:r>
        <w:t xml:space="preserve"> - </w:t>
      </w:r>
      <w:hyperlink w:anchor="P1214">
        <w:r>
          <w:rPr>
            <w:color w:val="0000FF"/>
          </w:rPr>
          <w:t>180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Всем пациентам с ГКМП при ухудшении симптоматики рекомендуется повторная регистрация ЭКГ с целью выявления нарушений сердечного ритма и проводимости, ишемии миокарда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94">
        <w:r>
          <w:rPr>
            <w:color w:val="0000FF"/>
          </w:rPr>
          <w:t>160</w:t>
        </w:r>
      </w:hyperlink>
      <w:r>
        <w:t xml:space="preserve">, </w:t>
      </w:r>
      <w:hyperlink w:anchor="P1210">
        <w:r>
          <w:rPr>
            <w:color w:val="0000FF"/>
          </w:rPr>
          <w:t>176</w:t>
        </w:r>
      </w:hyperlink>
      <w:r>
        <w:t xml:space="preserve"> - </w:t>
      </w:r>
      <w:hyperlink w:anchor="P1213">
        <w:r>
          <w:rPr>
            <w:color w:val="0000FF"/>
          </w:rPr>
          <w:t>179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Регистрация ЭКГ рекомендуется как компонент скрининг-алгоритма у родственников первой степени родства пациентов с ГКМП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7">
        <w:r>
          <w:rPr>
            <w:color w:val="0000FF"/>
          </w:rPr>
          <w:t>4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169">
        <w:r>
          <w:rPr>
            <w:color w:val="0000FF"/>
          </w:rPr>
          <w:t>135</w:t>
        </w:r>
      </w:hyperlink>
      <w:r>
        <w:t xml:space="preserve">, </w:t>
      </w:r>
      <w:hyperlink w:anchor="P1194">
        <w:r>
          <w:rPr>
            <w:color w:val="0000FF"/>
          </w:rPr>
          <w:t>160</w:t>
        </w:r>
      </w:hyperlink>
      <w:r>
        <w:t xml:space="preserve">, </w:t>
      </w:r>
      <w:hyperlink w:anchor="P1204">
        <w:r>
          <w:rPr>
            <w:color w:val="0000FF"/>
          </w:rPr>
          <w:t>170</w:t>
        </w:r>
      </w:hyperlink>
      <w:r>
        <w:t xml:space="preserve">, </w:t>
      </w:r>
      <w:hyperlink w:anchor="P1208">
        <w:r>
          <w:rPr>
            <w:color w:val="0000FF"/>
          </w:rPr>
          <w:t>174</w:t>
        </w:r>
      </w:hyperlink>
      <w:r>
        <w:t xml:space="preserve">, </w:t>
      </w:r>
      <w:hyperlink w:anchor="P1211">
        <w:r>
          <w:rPr>
            <w:color w:val="0000FF"/>
          </w:rPr>
          <w:t>177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ХМЭКГ рекомендуется всем пациентам с ГКМП, в том числе асимптомным, с целью выявления нарушений ритма сердца (ФП и ЖТ) и проводимости для стратификации риска ВСС и отбора кандидатов для имплантации ИКД***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6">
        <w:r>
          <w:rPr>
            <w:color w:val="0000FF"/>
          </w:rPr>
          <w:t>112</w:t>
        </w:r>
      </w:hyperlink>
      <w:r>
        <w:t xml:space="preserve">, </w:t>
      </w:r>
      <w:hyperlink w:anchor="P1148">
        <w:r>
          <w:rPr>
            <w:color w:val="0000FF"/>
          </w:rPr>
          <w:t>114</w:t>
        </w:r>
      </w:hyperlink>
      <w:r>
        <w:t xml:space="preserve">, </w:t>
      </w:r>
      <w:hyperlink w:anchor="P1195">
        <w:r>
          <w:rPr>
            <w:color w:val="0000FF"/>
          </w:rPr>
          <w:t>161</w:t>
        </w:r>
      </w:hyperlink>
      <w:r>
        <w:t xml:space="preserve">, </w:t>
      </w:r>
      <w:hyperlink w:anchor="P1215">
        <w:r>
          <w:rPr>
            <w:color w:val="0000FF"/>
          </w:rPr>
          <w:t>181</w:t>
        </w:r>
      </w:hyperlink>
      <w:r>
        <w:t xml:space="preserve"> - </w:t>
      </w:r>
      <w:hyperlink w:anchor="P1217">
        <w:r>
          <w:rPr>
            <w:color w:val="0000FF"/>
          </w:rPr>
          <w:t>183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УДД 5 УУР </w:t>
      </w:r>
      <w:hyperlink w:anchor="P1561">
        <w:r>
          <w:rPr>
            <w:color w:val="0000FF"/>
          </w:rPr>
          <w:t>C</w:t>
        </w:r>
      </w:hyperlink>
    </w:p>
    <w:p w:rsidR="00D02866" w:rsidRDefault="00D02866">
      <w:pPr>
        <w:pStyle w:val="ConsPlusNormal"/>
        <w:spacing w:before="220"/>
        <w:ind w:firstLine="540"/>
        <w:jc w:val="both"/>
      </w:pPr>
      <w:r>
        <w:t>- Проведение ХМЭКГ (оптимально продолжительностью 48 - 72 часа) рекомендуется при первичном клиническом обследовании и каждые 12 - 24 месяца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95">
        <w:r>
          <w:rPr>
            <w:color w:val="0000FF"/>
          </w:rPr>
          <w:t>161</w:t>
        </w:r>
      </w:hyperlink>
      <w:r>
        <w:t xml:space="preserve">, </w:t>
      </w:r>
      <w:hyperlink w:anchor="P1210">
        <w:r>
          <w:rPr>
            <w:color w:val="0000FF"/>
          </w:rPr>
          <w:t>176</w:t>
        </w:r>
      </w:hyperlink>
      <w:r>
        <w:t xml:space="preserve">, </w:t>
      </w:r>
      <w:hyperlink w:anchor="P1215">
        <w:r>
          <w:rPr>
            <w:color w:val="0000FF"/>
          </w:rPr>
          <w:t>181</w:t>
        </w:r>
      </w:hyperlink>
      <w:r>
        <w:t xml:space="preserve">, </w:t>
      </w:r>
      <w:hyperlink w:anchor="P1218">
        <w:r>
          <w:rPr>
            <w:color w:val="0000FF"/>
          </w:rPr>
          <w:t>184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Рекомендовано использование петлевого регистратора с целью выявления нарушений сердечного ритма у пациентов с жалобами на частые сердцебиения, у которых при длительном мониторировании ЭКГ причина осталась неуточненной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54">
        <w:r>
          <w:rPr>
            <w:color w:val="0000FF"/>
          </w:rPr>
          <w:t>20</w:t>
        </w:r>
      </w:hyperlink>
      <w:r>
        <w:t xml:space="preserve">, </w:t>
      </w:r>
      <w:hyperlink w:anchor="P1219">
        <w:r>
          <w:rPr>
            <w:color w:val="0000FF"/>
          </w:rPr>
          <w:t>185</w:t>
        </w:r>
      </w:hyperlink>
      <w:r>
        <w:t xml:space="preserve"> - </w:t>
      </w:r>
      <w:hyperlink w:anchor="P1221">
        <w:r>
          <w:rPr>
            <w:color w:val="0000FF"/>
          </w:rPr>
          <w:t>187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адекватная оценка нарушений ритма и проводимости критически необходима для стратификации риска ВСС, поэтому в некоторых случаях необходим длительный ЭКГ-мониторинг. Кроме рутинного суточного мониторирования ЭКГ, возможны варианты: 48/72-часовой мониторинг, наружный петлевой регистратор, регистратор событий, имплантируемый петлевой регистратор. ЭКГ-диагностика должна повторяться каждые 12 - 24 месяца, оптимально продолжительностью 48 часов.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Показанием к ХМЭКГ является появление у пациента жалоб на сердцебиение и/или головокружение.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Необходимо учитывать, что нарушения ритма и проводимости могут быть обусловлены проводимой терапией.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ЭКГ-признаки, помогающие в дифференциальной диагностике ГКМП и фенокопий ГКМП, представлены в </w:t>
      </w:r>
      <w:hyperlink w:anchor="P1974">
        <w:r>
          <w:rPr>
            <w:color w:val="0000FF"/>
          </w:rPr>
          <w:t>таблице П2</w:t>
        </w:r>
      </w:hyperlink>
      <w:r>
        <w:t>, Приложение Г1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54">
        <w:r>
          <w:rPr>
            <w:color w:val="0000FF"/>
          </w:rPr>
          <w:t>20</w:t>
        </w:r>
      </w:hyperlink>
      <w:r>
        <w:t xml:space="preserve">, </w:t>
      </w:r>
      <w:hyperlink w:anchor="P1083">
        <w:r>
          <w:rPr>
            <w:color w:val="0000FF"/>
          </w:rPr>
          <w:t>49</w:t>
        </w:r>
      </w:hyperlink>
      <w:r>
        <w:t xml:space="preserve">, </w:t>
      </w:r>
      <w:hyperlink w:anchor="P1159">
        <w:r>
          <w:rPr>
            <w:color w:val="0000FF"/>
          </w:rPr>
          <w:t>125</w:t>
        </w:r>
      </w:hyperlink>
      <w:r>
        <w:t xml:space="preserve">, </w:t>
      </w:r>
      <w:hyperlink w:anchor="P1175">
        <w:r>
          <w:rPr>
            <w:color w:val="0000FF"/>
          </w:rPr>
          <w:t>141</w:t>
        </w:r>
      </w:hyperlink>
      <w:r>
        <w:t xml:space="preserve">, </w:t>
      </w:r>
      <w:hyperlink w:anchor="P1181">
        <w:r>
          <w:rPr>
            <w:color w:val="0000FF"/>
          </w:rPr>
          <w:t>147</w:t>
        </w:r>
      </w:hyperlink>
      <w:r>
        <w:t xml:space="preserve">, </w:t>
      </w:r>
      <w:hyperlink w:anchor="P1197">
        <w:r>
          <w:rPr>
            <w:color w:val="0000FF"/>
          </w:rPr>
          <w:t>163</w:t>
        </w:r>
      </w:hyperlink>
      <w:r>
        <w:t xml:space="preserve">, </w:t>
      </w:r>
      <w:hyperlink w:anchor="P1219">
        <w:r>
          <w:rPr>
            <w:color w:val="0000FF"/>
          </w:rPr>
          <w:t>185</w:t>
        </w:r>
      </w:hyperlink>
      <w:r>
        <w:t xml:space="preserve">, </w:t>
      </w:r>
      <w:hyperlink w:anchor="P1222">
        <w:r>
          <w:rPr>
            <w:color w:val="0000FF"/>
          </w:rPr>
          <w:t>188</w:t>
        </w:r>
      </w:hyperlink>
      <w:r>
        <w:t xml:space="preserve"> - </w:t>
      </w:r>
      <w:hyperlink w:anchor="P1224">
        <w:r>
          <w:rPr>
            <w:color w:val="0000FF"/>
          </w:rPr>
          <w:t>190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Эхокардиография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ЭХОКГ-исследование пациентам необходимо выполнять в соответствии с рекомендациями по эхокардиографии AHA, ASE (American Society of Echocardiography) и EACVI (European Association of Cardiovascular Imaging) до выхода отечественных рекомендаций [</w:t>
      </w:r>
      <w:hyperlink w:anchor="P1186">
        <w:r>
          <w:rPr>
            <w:color w:val="0000FF"/>
          </w:rPr>
          <w:t>152</w:t>
        </w:r>
      </w:hyperlink>
      <w:r>
        <w:t xml:space="preserve">, </w:t>
      </w:r>
      <w:hyperlink w:anchor="P1225">
        <w:r>
          <w:rPr>
            <w:color w:val="0000FF"/>
          </w:rPr>
          <w:t>191</w:t>
        </w:r>
      </w:hyperlink>
      <w:r>
        <w:t xml:space="preserve"> - </w:t>
      </w:r>
      <w:hyperlink w:anchor="P1230">
        <w:r>
          <w:rPr>
            <w:color w:val="0000FF"/>
          </w:rPr>
          <w:t>196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Всем пациентам с подозрением на ГКМП для выявления ГЛЖ и внутрижелудочковой обструкции при первичном обследовании рекомендована ТТ-ЭХОКГ с провокационной пробой Вальсальвы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32">
        <w:r>
          <w:rPr>
            <w:color w:val="0000FF"/>
          </w:rPr>
          <w:t>98</w:t>
        </w:r>
      </w:hyperlink>
      <w:r>
        <w:t xml:space="preserve">, </w:t>
      </w:r>
      <w:hyperlink w:anchor="P1171">
        <w:r>
          <w:rPr>
            <w:color w:val="0000FF"/>
          </w:rPr>
          <w:t>137</w:t>
        </w:r>
      </w:hyperlink>
      <w:r>
        <w:t xml:space="preserve">, </w:t>
      </w:r>
      <w:hyperlink w:anchor="P1183">
        <w:r>
          <w:rPr>
            <w:color w:val="0000FF"/>
          </w:rPr>
          <w:t>149</w:t>
        </w:r>
      </w:hyperlink>
      <w:r>
        <w:t xml:space="preserve">, </w:t>
      </w:r>
      <w:hyperlink w:anchor="P1215">
        <w:r>
          <w:rPr>
            <w:color w:val="0000FF"/>
          </w:rPr>
          <w:t>181</w:t>
        </w:r>
      </w:hyperlink>
      <w:r>
        <w:t xml:space="preserve">, </w:t>
      </w:r>
      <w:hyperlink w:anchor="P1231">
        <w:r>
          <w:rPr>
            <w:color w:val="0000FF"/>
          </w:rPr>
          <w:t>197</w:t>
        </w:r>
      </w:hyperlink>
      <w:r>
        <w:t xml:space="preserve"> - </w:t>
      </w:r>
      <w:hyperlink w:anchor="P1235">
        <w:r>
          <w:rPr>
            <w:color w:val="0000FF"/>
          </w:rPr>
          <w:t>201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Всем пациентам с ГКМП измерение максимальной диастолической толщины миокарда ЛЖ рекомендуется проводить во всех сегментах, от базальных до верхушки в 2D-режиме по короткой оси ЛЖ [</w:t>
      </w:r>
      <w:hyperlink w:anchor="P1128">
        <w:r>
          <w:rPr>
            <w:color w:val="0000FF"/>
          </w:rPr>
          <w:t>94</w:t>
        </w:r>
      </w:hyperlink>
      <w:r>
        <w:t xml:space="preserve">, </w:t>
      </w:r>
      <w:hyperlink w:anchor="P1183">
        <w:r>
          <w:rPr>
            <w:color w:val="0000FF"/>
          </w:rPr>
          <w:t>149</w:t>
        </w:r>
      </w:hyperlink>
      <w:r>
        <w:t xml:space="preserve">, </w:t>
      </w:r>
      <w:hyperlink w:anchor="P1225">
        <w:r>
          <w:rPr>
            <w:color w:val="0000FF"/>
          </w:rPr>
          <w:t>191</w:t>
        </w:r>
      </w:hyperlink>
      <w:r>
        <w:t xml:space="preserve">, </w:t>
      </w:r>
      <w:hyperlink w:anchor="P1227">
        <w:r>
          <w:rPr>
            <w:color w:val="0000FF"/>
          </w:rPr>
          <w:t>193</w:t>
        </w:r>
      </w:hyperlink>
      <w:r>
        <w:t xml:space="preserve">, </w:t>
      </w:r>
      <w:hyperlink w:anchor="P1236">
        <w:r>
          <w:rPr>
            <w:color w:val="0000FF"/>
          </w:rPr>
          <w:t>202</w:t>
        </w:r>
      </w:hyperlink>
      <w:r>
        <w:t xml:space="preserve"> - </w:t>
      </w:r>
      <w:hyperlink w:anchor="P1238">
        <w:r>
          <w:rPr>
            <w:color w:val="0000FF"/>
          </w:rPr>
          <w:t>204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Всем пациентам с ГКМП рекомендуется тщательная оценка диастолической функции ЛЖ, включая трансмитральный кровоток, в легочных венах, тканевую допплерографию, измерение размера и объема ЛП для стратификации риска ВСС [</w:t>
      </w:r>
      <w:hyperlink w:anchor="P1125">
        <w:r>
          <w:rPr>
            <w:color w:val="0000FF"/>
          </w:rPr>
          <w:t>91</w:t>
        </w:r>
      </w:hyperlink>
      <w:r>
        <w:t xml:space="preserve">, </w:t>
      </w:r>
      <w:hyperlink w:anchor="P1128">
        <w:r>
          <w:rPr>
            <w:color w:val="0000FF"/>
          </w:rPr>
          <w:t>94</w:t>
        </w:r>
      </w:hyperlink>
      <w:r>
        <w:t xml:space="preserve">, </w:t>
      </w:r>
      <w:hyperlink w:anchor="P1129">
        <w:r>
          <w:rPr>
            <w:color w:val="0000FF"/>
          </w:rPr>
          <w:t>95</w:t>
        </w:r>
      </w:hyperlink>
      <w:r>
        <w:t xml:space="preserve">, </w:t>
      </w:r>
      <w:hyperlink w:anchor="P1132">
        <w:r>
          <w:rPr>
            <w:color w:val="0000FF"/>
          </w:rPr>
          <w:t>98</w:t>
        </w:r>
      </w:hyperlink>
      <w:r>
        <w:t xml:space="preserve">, </w:t>
      </w:r>
      <w:hyperlink w:anchor="P1142">
        <w:r>
          <w:rPr>
            <w:color w:val="0000FF"/>
          </w:rPr>
          <w:t>108</w:t>
        </w:r>
      </w:hyperlink>
      <w:r>
        <w:t xml:space="preserve">, </w:t>
      </w:r>
      <w:hyperlink w:anchor="P1171">
        <w:r>
          <w:rPr>
            <w:color w:val="0000FF"/>
          </w:rPr>
          <w:t>137</w:t>
        </w:r>
      </w:hyperlink>
      <w:r>
        <w:t xml:space="preserve">, </w:t>
      </w:r>
      <w:hyperlink w:anchor="P1229">
        <w:r>
          <w:rPr>
            <w:color w:val="0000FF"/>
          </w:rPr>
          <w:t>195</w:t>
        </w:r>
      </w:hyperlink>
      <w:r>
        <w:t xml:space="preserve">, </w:t>
      </w:r>
      <w:hyperlink w:anchor="P1239">
        <w:r>
          <w:rPr>
            <w:color w:val="0000FF"/>
          </w:rPr>
          <w:t>205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Симптомным пациентам с максимальным ГД в ВТЛЖ (в покое или спровоцированным) &lt; 50 мм рт. ст. рекомендуется проведение стресс-ТТ-ЭХОКГ для выявления провоцируемой обструкции ВТЛЖ и стресс-индуцируемой МР [</w:t>
      </w:r>
      <w:hyperlink w:anchor="P1102">
        <w:r>
          <w:rPr>
            <w:color w:val="0000FF"/>
          </w:rPr>
          <w:t>68</w:t>
        </w:r>
      </w:hyperlink>
      <w:r>
        <w:t xml:space="preserve">, </w:t>
      </w:r>
      <w:hyperlink w:anchor="P1143">
        <w:r>
          <w:rPr>
            <w:color w:val="0000FF"/>
          </w:rPr>
          <w:t>109</w:t>
        </w:r>
      </w:hyperlink>
      <w:r>
        <w:t xml:space="preserve">, </w:t>
      </w:r>
      <w:hyperlink w:anchor="P1150">
        <w:r>
          <w:rPr>
            <w:color w:val="0000FF"/>
          </w:rPr>
          <w:t>116</w:t>
        </w:r>
      </w:hyperlink>
      <w:r>
        <w:t xml:space="preserve">, </w:t>
      </w:r>
      <w:hyperlink w:anchor="P1171">
        <w:r>
          <w:rPr>
            <w:color w:val="0000FF"/>
          </w:rPr>
          <w:t>137</w:t>
        </w:r>
      </w:hyperlink>
      <w:r>
        <w:t xml:space="preserve">, </w:t>
      </w:r>
      <w:hyperlink w:anchor="P1186">
        <w:r>
          <w:rPr>
            <w:color w:val="0000FF"/>
          </w:rPr>
          <w:t>152</w:t>
        </w:r>
      </w:hyperlink>
      <w:r>
        <w:t xml:space="preserve">, </w:t>
      </w:r>
      <w:hyperlink w:anchor="P1233">
        <w:r>
          <w:rPr>
            <w:color w:val="0000FF"/>
          </w:rPr>
          <w:t>199</w:t>
        </w:r>
      </w:hyperlink>
      <w:r>
        <w:t xml:space="preserve">, </w:t>
      </w:r>
      <w:hyperlink w:anchor="P1240">
        <w:r>
          <w:rPr>
            <w:color w:val="0000FF"/>
          </w:rPr>
          <w:t>206</w:t>
        </w:r>
      </w:hyperlink>
      <w:r>
        <w:t xml:space="preserve"> - </w:t>
      </w:r>
      <w:hyperlink w:anchor="P1246">
        <w:r>
          <w:rPr>
            <w:color w:val="0000FF"/>
          </w:rPr>
          <w:t>212</w:t>
        </w:r>
      </w:hyperlink>
      <w:r>
        <w:t>]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Асимптомным пациентам с максимальным градиентом давления в ВТЛЖ (покоя или индуцированным) &lt; 50 мм рт. ст. рекомендовано проведение стресс-ТТ-ЭХОКГ, если наличие обструкции имеет значение для рекомендаций по образу жизни и назначения лекарственной терапии [</w:t>
      </w:r>
      <w:hyperlink w:anchor="P1102">
        <w:r>
          <w:rPr>
            <w:color w:val="0000FF"/>
          </w:rPr>
          <w:t>68</w:t>
        </w:r>
      </w:hyperlink>
      <w:r>
        <w:t xml:space="preserve">, </w:t>
      </w:r>
      <w:hyperlink w:anchor="P1233">
        <w:r>
          <w:rPr>
            <w:color w:val="0000FF"/>
          </w:rPr>
          <w:t>199</w:t>
        </w:r>
      </w:hyperlink>
      <w:r>
        <w:t xml:space="preserve">, </w:t>
      </w:r>
      <w:hyperlink w:anchor="P1240">
        <w:r>
          <w:rPr>
            <w:color w:val="0000FF"/>
          </w:rPr>
          <w:t>206</w:t>
        </w:r>
      </w:hyperlink>
      <w:r>
        <w:t xml:space="preserve">, </w:t>
      </w:r>
      <w:hyperlink w:anchor="P1242">
        <w:r>
          <w:rPr>
            <w:color w:val="0000FF"/>
          </w:rPr>
          <w:t>208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У пациентов с субоптимальным качеством изображения или с предполагаемой апикальной гипертрофией ЛЖ или аневризмой, рекомендуется ЭХОКГ с контрастированием полости ЛЖ, как альтернатива МРТ сердца [</w:t>
      </w:r>
      <w:hyperlink w:anchor="P1149">
        <w:r>
          <w:rPr>
            <w:color w:val="0000FF"/>
          </w:rPr>
          <w:t>115</w:t>
        </w:r>
      </w:hyperlink>
      <w:r>
        <w:t xml:space="preserve">, </w:t>
      </w:r>
      <w:hyperlink w:anchor="P1182">
        <w:r>
          <w:rPr>
            <w:color w:val="0000FF"/>
          </w:rPr>
          <w:t>148</w:t>
        </w:r>
      </w:hyperlink>
      <w:r>
        <w:t xml:space="preserve">, </w:t>
      </w:r>
      <w:hyperlink w:anchor="P1247">
        <w:r>
          <w:rPr>
            <w:color w:val="0000FF"/>
          </w:rPr>
          <w:t>213</w:t>
        </w:r>
      </w:hyperlink>
      <w:r>
        <w:t xml:space="preserve"> - </w:t>
      </w:r>
      <w:hyperlink w:anchor="P1250">
        <w:r>
          <w:rPr>
            <w:color w:val="0000FF"/>
          </w:rPr>
          <w:t>216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Интракоронарное контрастирование миокарда при ТТ-ЭХОКГ во время диагностической КАГ рекомендуется пациентам, у которых планируется САА, для идентификации подходящей для аблации септальной ветви коронарной артерии [</w:t>
      </w:r>
      <w:hyperlink w:anchor="P1230">
        <w:r>
          <w:rPr>
            <w:color w:val="0000FF"/>
          </w:rPr>
          <w:t>196</w:t>
        </w:r>
      </w:hyperlink>
      <w:r>
        <w:t xml:space="preserve">, </w:t>
      </w:r>
      <w:hyperlink w:anchor="P1250">
        <w:r>
          <w:rPr>
            <w:color w:val="0000FF"/>
          </w:rPr>
          <w:t>216</w:t>
        </w:r>
      </w:hyperlink>
      <w:r>
        <w:t xml:space="preserve"> - </w:t>
      </w:r>
      <w:hyperlink w:anchor="P1253">
        <w:r>
          <w:rPr>
            <w:color w:val="0000FF"/>
          </w:rPr>
          <w:t>219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Повторные ЭХОКГ-исследования рекомендуются пациентам с ГКМП с изменениями в клиническом статусе или появлением новой сердечно-сосудистой симптоматики для своевременного выявления осложнений и динамики ремоделирования сердца [</w:t>
      </w:r>
      <w:hyperlink w:anchor="P1102">
        <w:r>
          <w:rPr>
            <w:color w:val="0000FF"/>
          </w:rPr>
          <w:t>68</w:t>
        </w:r>
      </w:hyperlink>
      <w:r>
        <w:t xml:space="preserve">, </w:t>
      </w:r>
      <w:hyperlink w:anchor="P1183">
        <w:r>
          <w:rPr>
            <w:color w:val="0000FF"/>
          </w:rPr>
          <w:t>149</w:t>
        </w:r>
      </w:hyperlink>
      <w:r>
        <w:t xml:space="preserve">, </w:t>
      </w:r>
      <w:hyperlink w:anchor="P1212">
        <w:r>
          <w:rPr>
            <w:color w:val="0000FF"/>
          </w:rPr>
          <w:t>178</w:t>
        </w:r>
      </w:hyperlink>
      <w:r>
        <w:t xml:space="preserve">, </w:t>
      </w:r>
      <w:hyperlink w:anchor="P1218">
        <w:r>
          <w:rPr>
            <w:color w:val="0000FF"/>
          </w:rPr>
          <w:t>184</w:t>
        </w:r>
      </w:hyperlink>
      <w:r>
        <w:t xml:space="preserve">, </w:t>
      </w:r>
      <w:hyperlink w:anchor="P1233">
        <w:r>
          <w:rPr>
            <w:color w:val="0000FF"/>
          </w:rPr>
          <w:t>199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- ЭХОКГ рекомендуется как компонент скрининг-алгоритма членов семьи пациента с ГКМП, у которого выявлена ассоциированная с заболеванием генная мутация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169">
        <w:r>
          <w:rPr>
            <w:color w:val="0000FF"/>
          </w:rPr>
          <w:t>135</w:t>
        </w:r>
      </w:hyperlink>
      <w:r>
        <w:t xml:space="preserve">, </w:t>
      </w:r>
      <w:hyperlink w:anchor="P1204">
        <w:r>
          <w:rPr>
            <w:color w:val="0000FF"/>
          </w:rPr>
          <w:t>170</w:t>
        </w:r>
      </w:hyperlink>
      <w:r>
        <w:t xml:space="preserve">, </w:t>
      </w:r>
      <w:hyperlink w:anchor="P1208">
        <w:r>
          <w:rPr>
            <w:color w:val="0000FF"/>
          </w:rPr>
          <w:t>174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требуется использовать расширенный протокол ЭХОКГ, адаптированный к диагностике ГКМП. Перечень показателей, входящих в протокол ТТ-ЭХОКГ, представлены в </w:t>
      </w:r>
      <w:hyperlink w:anchor="P2000">
        <w:r>
          <w:rPr>
            <w:color w:val="0000FF"/>
          </w:rPr>
          <w:t>таблице П3</w:t>
        </w:r>
      </w:hyperlink>
      <w:r>
        <w:t>, Приложение Г1.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Для дифференциальной диагностики с фенокопиями и при выборе хирургической тактики при ГКМП могут использоваться дополнительные опции при ЭХОКГ, представлены в </w:t>
      </w:r>
      <w:hyperlink w:anchor="P2063">
        <w:r>
          <w:rPr>
            <w:color w:val="0000FF"/>
          </w:rPr>
          <w:t>таблице П4</w:t>
        </w:r>
      </w:hyperlink>
      <w:r>
        <w:t>, Приложение Г1.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ЭХОКГ-находки, позволяющие дифференцировать ГКМП и фенокопии ГКМП, представлены в </w:t>
      </w:r>
      <w:hyperlink w:anchor="P2072">
        <w:r>
          <w:rPr>
            <w:color w:val="0000FF"/>
          </w:rPr>
          <w:t>таблице П5</w:t>
        </w:r>
      </w:hyperlink>
      <w:r>
        <w:t>, Приложение Г1 [</w:t>
      </w:r>
      <w:hyperlink w:anchor="P1035">
        <w:r>
          <w:rPr>
            <w:color w:val="0000FF"/>
          </w:rPr>
          <w:t>1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63">
        <w:r>
          <w:rPr>
            <w:color w:val="0000FF"/>
          </w:rPr>
          <w:t>29</w:t>
        </w:r>
      </w:hyperlink>
      <w:r>
        <w:t xml:space="preserve">, </w:t>
      </w:r>
      <w:hyperlink w:anchor="P1178">
        <w:r>
          <w:rPr>
            <w:color w:val="0000FF"/>
          </w:rPr>
          <w:t>144</w:t>
        </w:r>
      </w:hyperlink>
      <w:r>
        <w:t xml:space="preserve">, </w:t>
      </w:r>
      <w:hyperlink w:anchor="P1197">
        <w:r>
          <w:rPr>
            <w:color w:val="0000FF"/>
          </w:rPr>
          <w:t>163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Рекомендации по чреспищеводной эхокардиографиии при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ЧП-ЭХОКГ рекомендована для пациентов, у которых неясен механизм обструкции ВТЛЖ или для оценки состояния МК до процедуры САА, или если регистрируется выраженная МР, предположительно не связанная с ПСД створок, а обусловленная собственными аномалиями МК [</w:t>
      </w:r>
      <w:hyperlink w:anchor="P1226">
        <w:r>
          <w:rPr>
            <w:color w:val="0000FF"/>
          </w:rPr>
          <w:t>192</w:t>
        </w:r>
      </w:hyperlink>
      <w:r>
        <w:t xml:space="preserve">, </w:t>
      </w:r>
      <w:hyperlink w:anchor="P1254">
        <w:r>
          <w:rPr>
            <w:color w:val="0000FF"/>
          </w:rPr>
          <w:t>220</w:t>
        </w:r>
      </w:hyperlink>
      <w:r>
        <w:t xml:space="preserve"> - </w:t>
      </w:r>
      <w:hyperlink w:anchor="P1257">
        <w:r>
          <w:rPr>
            <w:color w:val="0000FF"/>
          </w:rPr>
          <w:t>223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 при выполнении САА для корректного определения целевой зоны воздействия рекомендовано интраоперационное ЧП-ЭХОКГ с интракоронарным контрастированием миокарда [</w:t>
      </w:r>
      <w:hyperlink w:anchor="P1230">
        <w:r>
          <w:rPr>
            <w:color w:val="0000FF"/>
          </w:rPr>
          <w:t>196</w:t>
        </w:r>
      </w:hyperlink>
      <w:r>
        <w:t xml:space="preserve">, </w:t>
      </w:r>
      <w:hyperlink w:anchor="P1250">
        <w:r>
          <w:rPr>
            <w:color w:val="0000FF"/>
          </w:rPr>
          <w:t>216</w:t>
        </w:r>
      </w:hyperlink>
      <w:r>
        <w:t xml:space="preserve"> - </w:t>
      </w:r>
      <w:hyperlink w:anchor="P1253">
        <w:r>
          <w:rPr>
            <w:color w:val="0000FF"/>
          </w:rPr>
          <w:t>219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Консенсус экспертов EACVI 2015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Интра/периоперационная ЧП-ЭХОКГ при СМЭ рекомендована пациентам для уточнения механизма обструкции ВТЛЖ, контроля хирургической стратегии, оценки постхирургических осложнений и выявления остаточной обструкции ВТЛЖ [</w:t>
      </w:r>
      <w:hyperlink w:anchor="P1226">
        <w:r>
          <w:rPr>
            <w:color w:val="0000FF"/>
          </w:rPr>
          <w:t>192</w:t>
        </w:r>
      </w:hyperlink>
      <w:r>
        <w:t xml:space="preserve">, </w:t>
      </w:r>
      <w:hyperlink w:anchor="P1250">
        <w:r>
          <w:rPr>
            <w:color w:val="0000FF"/>
          </w:rPr>
          <w:t>216</w:t>
        </w:r>
      </w:hyperlink>
      <w:r>
        <w:t xml:space="preserve">, </w:t>
      </w:r>
      <w:hyperlink w:anchor="P1251">
        <w:r>
          <w:rPr>
            <w:color w:val="0000FF"/>
          </w:rPr>
          <w:t>217</w:t>
        </w:r>
      </w:hyperlink>
      <w:r>
        <w:t xml:space="preserve">, </w:t>
      </w:r>
      <w:hyperlink w:anchor="P1254">
        <w:r>
          <w:rPr>
            <w:color w:val="0000FF"/>
          </w:rPr>
          <w:t>220</w:t>
        </w:r>
      </w:hyperlink>
      <w:r>
        <w:t xml:space="preserve"> - </w:t>
      </w:r>
      <w:hyperlink w:anchor="P1258">
        <w:r>
          <w:rPr>
            <w:color w:val="0000FF"/>
          </w:rPr>
          <w:t>224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Проведение провокационной пробы Вальсальвы для диагностики латентной обструкции ВТЛЖ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Пробу Вальсальвы при ТТ-ЭХОКГ следует проводить в положении пациента лежа на левом боку. Пациенту следует напрячь мышцы передней брюшной стенки, что повышает внутрибрюшное и внутригрудное давление. Контроль уровня напряжения целесообразно осуществлять с помощью устройства, представляющего манометр, соединенный с мундштуком; при этом пациента просят удерживать напряжение, чтобы давление на манометре составляло 20 - 40 мм рт. ст. Во время пробы Вальсальвы регистрируется максимальная скорость кровотока в ВТЛЖ с использованием постоянно-волнового допплера. Если в положении пациента лежа проба отрицательная, то рекомендуется провести пробу в положении сидя и стоя.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Магнитно-резонансная томография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МРТ сердца с контрастированием (при отсутствии противопоказаний) рекомендуется выполнить как минимум один раз после постановки диагноза ГКМП для уточнения данных ЭХОКГ (анатомии сердца, функции желудочков), а также выявления и оценки распространенности </w:t>
      </w:r>
      <w:r>
        <w:lastRenderedPageBreak/>
        <w:t>фиброза миокарда и исключения других заболеваний [</w:t>
      </w:r>
      <w:hyperlink w:anchor="P1091">
        <w:r>
          <w:rPr>
            <w:color w:val="0000FF"/>
          </w:rPr>
          <w:t>57</w:t>
        </w:r>
      </w:hyperlink>
      <w:r>
        <w:t xml:space="preserve">, </w:t>
      </w:r>
      <w:hyperlink w:anchor="P1223">
        <w:r>
          <w:rPr>
            <w:color w:val="0000FF"/>
          </w:rPr>
          <w:t>189</w:t>
        </w:r>
      </w:hyperlink>
      <w:r>
        <w:t xml:space="preserve">, </w:t>
      </w:r>
      <w:hyperlink w:anchor="P1250">
        <w:r>
          <w:rPr>
            <w:color w:val="0000FF"/>
          </w:rPr>
          <w:t>216</w:t>
        </w:r>
      </w:hyperlink>
      <w:r>
        <w:t xml:space="preserve">, </w:t>
      </w:r>
      <w:hyperlink w:anchor="P1259">
        <w:r>
          <w:rPr>
            <w:color w:val="0000FF"/>
          </w:rPr>
          <w:t>225</w:t>
        </w:r>
      </w:hyperlink>
      <w:r>
        <w:t xml:space="preserve"> - </w:t>
      </w:r>
      <w:hyperlink w:anchor="P1265">
        <w:r>
          <w:rPr>
            <w:color w:val="0000FF"/>
          </w:rPr>
          <w:t>231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Консенсус экспертов EACVI 2015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Проведение МРТ родственникам пробанда первой линии родства рекомендуется, если постановка диагноза значимо влияет на образ жизни (напр. запрещение соревновательного спорта), а при ЭХОКГ имеется низкое качество изображения, или данные пограничные/сомнительные, или есть изменения на ЭКГ, а ЭХОКГ - без отклонений от нормы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250">
        <w:r>
          <w:rPr>
            <w:color w:val="0000FF"/>
          </w:rPr>
          <w:t>216</w:t>
        </w:r>
      </w:hyperlink>
      <w:r>
        <w:t xml:space="preserve">, </w:t>
      </w:r>
      <w:hyperlink w:anchor="P1260">
        <w:r>
          <w:rPr>
            <w:color w:val="0000FF"/>
          </w:rPr>
          <w:t>226</w:t>
        </w:r>
      </w:hyperlink>
      <w:r>
        <w:t xml:space="preserve">, </w:t>
      </w:r>
      <w:hyperlink w:anchor="P1263">
        <w:r>
          <w:rPr>
            <w:color w:val="0000FF"/>
          </w:rPr>
          <w:t>229</w:t>
        </w:r>
      </w:hyperlink>
      <w:r>
        <w:t xml:space="preserve">, </w:t>
      </w:r>
      <w:hyperlink w:anchor="P1267">
        <w:r>
          <w:rPr>
            <w:color w:val="0000FF"/>
          </w:rPr>
          <w:t>233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УДД 5 УУР </w:t>
      </w:r>
      <w:hyperlink w:anchor="P1561">
        <w:r>
          <w:rPr>
            <w:color w:val="0000FF"/>
          </w:rPr>
          <w:t>C</w:t>
        </w:r>
      </w:hyperlink>
    </w:p>
    <w:p w:rsidR="00D02866" w:rsidRDefault="00D02866">
      <w:pPr>
        <w:pStyle w:val="ConsPlusNormal"/>
        <w:spacing w:before="220"/>
        <w:ind w:firstLine="540"/>
        <w:jc w:val="both"/>
      </w:pPr>
      <w:r>
        <w:t>Консенсус экспертов EACVI 2015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предполагаемым амилоидозом сердца рекомендовано МРТ сердца с контрастированием с целью выявления зон ПНГ [</w:t>
      </w:r>
      <w:hyperlink w:anchor="P1083">
        <w:r>
          <w:rPr>
            <w:color w:val="0000FF"/>
          </w:rPr>
          <w:t>49</w:t>
        </w:r>
      </w:hyperlink>
      <w:r>
        <w:t xml:space="preserve">, </w:t>
      </w:r>
      <w:hyperlink w:anchor="P1087">
        <w:r>
          <w:rPr>
            <w:color w:val="0000FF"/>
          </w:rPr>
          <w:t>53</w:t>
        </w:r>
      </w:hyperlink>
      <w:r>
        <w:t xml:space="preserve">, </w:t>
      </w:r>
      <w:hyperlink w:anchor="P1090">
        <w:r>
          <w:rPr>
            <w:color w:val="0000FF"/>
          </w:rPr>
          <w:t>56</w:t>
        </w:r>
      </w:hyperlink>
      <w:r>
        <w:t xml:space="preserve">, </w:t>
      </w:r>
      <w:hyperlink w:anchor="P1091">
        <w:r>
          <w:rPr>
            <w:color w:val="0000FF"/>
          </w:rPr>
          <w:t>57</w:t>
        </w:r>
      </w:hyperlink>
      <w:r>
        <w:t xml:space="preserve">, </w:t>
      </w:r>
      <w:hyperlink w:anchor="P1198">
        <w:r>
          <w:rPr>
            <w:color w:val="0000FF"/>
          </w:rPr>
          <w:t>164</w:t>
        </w:r>
      </w:hyperlink>
      <w:r>
        <w:t xml:space="preserve">, </w:t>
      </w:r>
      <w:hyperlink w:anchor="P1268">
        <w:r>
          <w:rPr>
            <w:color w:val="0000FF"/>
          </w:rPr>
          <w:t>234</w:t>
        </w:r>
      </w:hyperlink>
      <w:r>
        <w:t xml:space="preserve"> - </w:t>
      </w:r>
      <w:hyperlink w:anchor="P1270">
        <w:r>
          <w:rPr>
            <w:color w:val="0000FF"/>
          </w:rPr>
          <w:t>236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2 УУР </w:t>
      </w:r>
      <w:hyperlink w:anchor="P1557">
        <w:r>
          <w:rPr>
            <w:color w:val="0000FF"/>
          </w:rPr>
          <w:t>A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МРТ сердца с контрастированием рекомендуется до операции хирургической и нехирургической редукции МЖП для оценки характера и распространенности гипертрофии и фиброза миокарда [</w:t>
      </w:r>
      <w:hyperlink w:anchor="P1075">
        <w:r>
          <w:rPr>
            <w:color w:val="0000FF"/>
          </w:rPr>
          <w:t>41</w:t>
        </w:r>
      </w:hyperlink>
      <w:r>
        <w:t xml:space="preserve">, </w:t>
      </w:r>
      <w:hyperlink w:anchor="P1223">
        <w:r>
          <w:rPr>
            <w:color w:val="0000FF"/>
          </w:rPr>
          <w:t>189</w:t>
        </w:r>
      </w:hyperlink>
      <w:r>
        <w:t xml:space="preserve">, </w:t>
      </w:r>
      <w:hyperlink w:anchor="P1262">
        <w:r>
          <w:rPr>
            <w:color w:val="0000FF"/>
          </w:rPr>
          <w:t>228</w:t>
        </w:r>
      </w:hyperlink>
      <w:r>
        <w:t xml:space="preserve">, </w:t>
      </w:r>
      <w:hyperlink w:anchor="P1264">
        <w:r>
          <w:rPr>
            <w:color w:val="0000FF"/>
          </w:rPr>
          <w:t>230</w:t>
        </w:r>
      </w:hyperlink>
      <w:r>
        <w:t xml:space="preserve">, </w:t>
      </w:r>
      <w:hyperlink w:anchor="P1271">
        <w:r>
          <w:rPr>
            <w:color w:val="0000FF"/>
          </w:rPr>
          <w:t>237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МРТ сердца и сосудов должна интерпретироваться специалистами, имеющими опыт в визуализации сердца и оценке заболеваний миокарда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88">
        <w:r>
          <w:rPr>
            <w:color w:val="0000FF"/>
          </w:rPr>
          <w:t>54</w:t>
        </w:r>
      </w:hyperlink>
      <w:r>
        <w:t xml:space="preserve">, </w:t>
      </w:r>
      <w:hyperlink w:anchor="P1260">
        <w:r>
          <w:rPr>
            <w:color w:val="0000FF"/>
          </w:rPr>
          <w:t>226</w:t>
        </w:r>
      </w:hyperlink>
      <w:r>
        <w:t xml:space="preserve">, </w:t>
      </w:r>
      <w:hyperlink w:anchor="P1265">
        <w:r>
          <w:rPr>
            <w:color w:val="0000FF"/>
          </w:rPr>
          <w:t>231</w:t>
        </w:r>
      </w:hyperlink>
      <w:r>
        <w:t xml:space="preserve">, </w:t>
      </w:r>
      <w:hyperlink w:anchor="P1272">
        <w:r>
          <w:rPr>
            <w:color w:val="0000FF"/>
          </w:rPr>
          <w:t>238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МРТ не имеет присущих ЭХОКГ ограничений и является "золотым стандартом" оценки толщины миокарда и объемов ЛЖ и ПЖ (больше точность измерений и воспроизводимость, меньше операторозависимость), поэтому при отсутствии противопоказаний, если позволяют ресурсы и опыт, МРТ должна рассматриваться для пациентов с ГКМП в качестве базового метода исследования [</w:t>
      </w:r>
      <w:hyperlink w:anchor="P1250">
        <w:r>
          <w:rPr>
            <w:color w:val="0000FF"/>
          </w:rPr>
          <w:t>216</w:t>
        </w:r>
      </w:hyperlink>
      <w:r>
        <w:t xml:space="preserve">, </w:t>
      </w:r>
      <w:hyperlink w:anchor="P1261">
        <w:r>
          <w:rPr>
            <w:color w:val="0000FF"/>
          </w:rPr>
          <w:t>227</w:t>
        </w:r>
      </w:hyperlink>
      <w:r>
        <w:t xml:space="preserve">, </w:t>
      </w:r>
      <w:hyperlink w:anchor="P1265">
        <w:r>
          <w:rPr>
            <w:color w:val="0000FF"/>
          </w:rPr>
          <w:t>231</w:t>
        </w:r>
      </w:hyperlink>
      <w:r>
        <w:t xml:space="preserve">, </w:t>
      </w:r>
      <w:hyperlink w:anchor="P1272">
        <w:r>
          <w:rPr>
            <w:color w:val="0000FF"/>
          </w:rPr>
          <w:t>238</w:t>
        </w:r>
      </w:hyperlink>
      <w:r>
        <w:t xml:space="preserve">, </w:t>
      </w:r>
      <w:hyperlink w:anchor="P1273">
        <w:r>
          <w:rPr>
            <w:color w:val="0000FF"/>
          </w:rPr>
          <w:t>239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МРТ также позволяет исследовать текстуру миокарда, т.е. наличие и распространенность миокардиального фиброза. Методика основана на том, что в сегментах миокарда с &gt; 15% фиброза выявляется феномен позднего накопления гадолиния (ПНГ) - задержка вымывания Gd-контраста. Наличие распространенного фиброза является предиктором негативного ремоделирования, развития систолической дисфункции и ХСН, а также относится к дополнительным факторам риска ВСС.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МРТ выявляются 2 основных паттерна фиброза: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Интрамуральный фиброз в пределах гипертрофированных сегментов, который на гистологическом уровне является отражением прямого действия "причинного" генетического варианта и молекулярного патогенеза, проявляющего дискомплексацией кардиомицитов и мышечных волокон - феномен "disarray", фиброзом разной степени выраженности.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Зоны фиброза могут быть выявлены в МЖП в передней и/или задней областях, граничащих со свободной стенкой ПЖ (т. наз. "right ventricular insertion points"). Считается, что это интерстициальный фиброз или промежуточный фенотип ПНГ, начальная стадия [</w:t>
      </w:r>
      <w:hyperlink w:anchor="P1133">
        <w:r>
          <w:rPr>
            <w:color w:val="0000FF"/>
          </w:rPr>
          <w:t>99</w:t>
        </w:r>
      </w:hyperlink>
      <w:r>
        <w:t xml:space="preserve">, </w:t>
      </w:r>
      <w:hyperlink w:anchor="P1250">
        <w:r>
          <w:rPr>
            <w:color w:val="0000FF"/>
          </w:rPr>
          <w:t>216</w:t>
        </w:r>
      </w:hyperlink>
      <w:r>
        <w:t xml:space="preserve">, </w:t>
      </w:r>
      <w:hyperlink w:anchor="P1264">
        <w:r>
          <w:rPr>
            <w:color w:val="0000FF"/>
          </w:rPr>
          <w:t>230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Параметры, которые необходимо оценить при МРТ сердца у пациента с ГКМП, </w:t>
      </w:r>
      <w:r>
        <w:lastRenderedPageBreak/>
        <w:t xml:space="preserve">представлены в </w:t>
      </w:r>
      <w:hyperlink w:anchor="P2098">
        <w:r>
          <w:rPr>
            <w:color w:val="0000FF"/>
          </w:rPr>
          <w:t>таблице П6</w:t>
        </w:r>
      </w:hyperlink>
      <w:r>
        <w:t>, Приложение Г1.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У носителей мутаций в догипертрофической стадии ГКМП при МРТ можно выявить "малые аномалии сердца" - крипты миокарда, аномалии МК, апикальное смещение папиллярных мышц. На доклинической стадии у некоторых пациентов с генотипом(+)/фенотипом(-) могут быть выявлены зоны ПНГ. (см. алгоритм диагностики на доклинической стадии) [</w:t>
      </w:r>
      <w:hyperlink w:anchor="P1273">
        <w:r>
          <w:rPr>
            <w:color w:val="0000FF"/>
          </w:rPr>
          <w:t>239</w:t>
        </w:r>
      </w:hyperlink>
      <w:r>
        <w:t xml:space="preserve"> - </w:t>
      </w:r>
      <w:hyperlink w:anchor="P1275">
        <w:r>
          <w:rPr>
            <w:color w:val="0000FF"/>
          </w:rPr>
          <w:t>241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При МРТ сердца также выявляются аномалии аппарата МК (см. </w:t>
      </w:r>
      <w:hyperlink w:anchor="P2098">
        <w:r>
          <w:rPr>
            <w:color w:val="0000FF"/>
          </w:rPr>
          <w:t>таблицу П6</w:t>
        </w:r>
      </w:hyperlink>
      <w:r>
        <w:t>, Приложение Г1).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Кроме значимости в диагностике ГКМП, МРТ сердца играет роль в диагностике фенокопий ГКМП. При амилоидозе зоны ПНГ определяются в эндокардиальных и субэндокардиальных отделах и не зависит от зон кровоснабжения миокарда [</w:t>
      </w:r>
      <w:hyperlink w:anchor="P1091">
        <w:r>
          <w:rPr>
            <w:color w:val="0000FF"/>
          </w:rPr>
          <w:t>57</w:t>
        </w:r>
      </w:hyperlink>
      <w:r>
        <w:t xml:space="preserve">, </w:t>
      </w:r>
      <w:hyperlink w:anchor="P1270">
        <w:r>
          <w:rPr>
            <w:color w:val="0000FF"/>
          </w:rPr>
          <w:t>236</w:t>
        </w:r>
      </w:hyperlink>
      <w:r>
        <w:t xml:space="preserve">]. При болезни Андерсона-Фабри - наличие интрамиокардиального ПНГ чаще всего по заднебоковому сегменту на базальном и среднем уровнях </w:t>
      </w:r>
      <w:hyperlink w:anchor="P1205">
        <w:r>
          <w:rPr>
            <w:color w:val="0000FF"/>
          </w:rPr>
          <w:t>[171]</w:t>
        </w:r>
      </w:hyperlink>
      <w:r>
        <w:t>. У спортсменов с ГЛЖ отсутствуют зоны ПНГ.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Компьютерная томография/Мультиспиральная компьютерная томография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ГКМП, у которых низкое качество ЭХОКГ изображения, а проведение МРТ противопоказано для оценки толщины миокарда и размеров полостей сердца, рекомендуется выполнять КТ/МСКТ сердца с контрастированием [</w:t>
      </w:r>
      <w:hyperlink w:anchor="P1250">
        <w:r>
          <w:rPr>
            <w:color w:val="0000FF"/>
          </w:rPr>
          <w:t>216</w:t>
        </w:r>
      </w:hyperlink>
      <w:r>
        <w:t xml:space="preserve">, </w:t>
      </w:r>
      <w:hyperlink w:anchor="P1276">
        <w:r>
          <w:rPr>
            <w:color w:val="0000FF"/>
          </w:rPr>
          <w:t>242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КТ сердца, кроме анатомических данных сердца, позволяет также визуализировать коронарные артерии, оценивать их проходимость и анатомические особенности, наличие миокардиальных "мышечных мостиков", что играет важную роль в диагностике ИБС, в том числе при ГКМП у пациентов старшей возрастной группы.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МСКТ сердца, имеющая высокое пространственное разрешение, позволяет обеспечить точное измерение толщины, массы миокарда, объема желудочков и фракцию выброса. Сравнительное исследование показало высокую точность метода МСКТ, сопоставимую с результатами метода МРТ сердца [</w:t>
      </w:r>
      <w:hyperlink w:anchor="P1277">
        <w:r>
          <w:rPr>
            <w:color w:val="0000FF"/>
          </w:rPr>
          <w:t>243</w:t>
        </w:r>
      </w:hyperlink>
      <w:r>
        <w:t xml:space="preserve">, </w:t>
      </w:r>
      <w:hyperlink w:anchor="P1278">
        <w:r>
          <w:rPr>
            <w:color w:val="0000FF"/>
          </w:rPr>
          <w:t>244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По сравнению с МРТ, минусом МСКТ является более низкое временное разрешение, более низкое контрастирование мягких тканей и наличие ионизирующего излучения </w:t>
      </w:r>
      <w:hyperlink w:anchor="P1278">
        <w:r>
          <w:rPr>
            <w:color w:val="0000FF"/>
          </w:rPr>
          <w:t>[244]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Сцинтиграфия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Сцинтиграфию костей (с 99mTc-DPD или 99mTc-пирофосфатом) рекомендуется выполнять пациентам, у которых подозревается ATTR-амилоидоз [</w:t>
      </w:r>
      <w:hyperlink w:anchor="P1197">
        <w:r>
          <w:rPr>
            <w:color w:val="0000FF"/>
          </w:rPr>
          <w:t>163</w:t>
        </w:r>
      </w:hyperlink>
      <w:r>
        <w:t xml:space="preserve">, </w:t>
      </w:r>
      <w:hyperlink w:anchor="P1198">
        <w:r>
          <w:rPr>
            <w:color w:val="0000FF"/>
          </w:rPr>
          <w:t>164</w:t>
        </w:r>
      </w:hyperlink>
      <w:r>
        <w:t xml:space="preserve">, </w:t>
      </w:r>
      <w:hyperlink w:anchor="P1269">
        <w:r>
          <w:rPr>
            <w:color w:val="0000FF"/>
          </w:rPr>
          <w:t>235</w:t>
        </w:r>
      </w:hyperlink>
      <w:r>
        <w:t xml:space="preserve">, </w:t>
      </w:r>
      <w:hyperlink w:anchor="P1279">
        <w:r>
          <w:rPr>
            <w:color w:val="0000FF"/>
          </w:rPr>
          <w:t>245</w:t>
        </w:r>
      </w:hyperlink>
      <w:r>
        <w:t xml:space="preserve">, </w:t>
      </w:r>
      <w:hyperlink w:anchor="P1280">
        <w:r>
          <w:rPr>
            <w:color w:val="0000FF"/>
          </w:rPr>
          <w:t>246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IIaB (УДД 2 УУР </w:t>
      </w:r>
      <w:hyperlink w:anchor="P1559">
        <w:r>
          <w:rPr>
            <w:color w:val="0000FF"/>
          </w:rPr>
          <w:t>B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по данным сцинтиграфии с 99mTc-пирофосфатом возможна точная дифференциальная диагностика AL- и ATTR-амилоидоза сердца (при условии исключения моноклональной гаммапатии неопределенного значения) [</w:t>
      </w:r>
      <w:hyperlink w:anchor="P1079">
        <w:r>
          <w:rPr>
            <w:color w:val="0000FF"/>
          </w:rPr>
          <w:t>45</w:t>
        </w:r>
      </w:hyperlink>
      <w:r>
        <w:t xml:space="preserve">, </w:t>
      </w:r>
      <w:hyperlink w:anchor="P1269">
        <w:r>
          <w:rPr>
            <w:color w:val="0000FF"/>
          </w:rPr>
          <w:t>235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ind w:firstLine="540"/>
        <w:jc w:val="both"/>
      </w:pPr>
      <w:r>
        <w:t>Позитронная эмиссионная томография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ПЭТ может использоваться для исследования метаболизма миокарда (радиофармпрепараты - F</w:t>
      </w:r>
      <w:r>
        <w:rPr>
          <w:vertAlign w:val="superscript"/>
        </w:rPr>
        <w:t>18</w:t>
      </w:r>
      <w:r>
        <w:t>-дезоксиглюкоза и C</w:t>
      </w:r>
      <w:r>
        <w:rPr>
          <w:vertAlign w:val="superscript"/>
        </w:rPr>
        <w:t>11</w:t>
      </w:r>
      <w:r>
        <w:t>-ацетат) и диагностики автономной дисфункции сердца.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ГКМП может выявляться нарушение обратного захвата нейромедиаторов и уменьшение плотности бета-адренорецепторов.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Коронарная ангиография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КАГ является методом выбора диагностики наличия и выраженности обструктивного поражения эпикардиальных коронарных артерий.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Взрослым пациентам с ГКМП с предотвращенной ВСС (после успешных реанимационных мероприятий), пациентам с устойчивой ЖТ и пациентам со стабильной стенокардией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3 класса (по классификации Канадского сердечно-сосудистого общества - CCS) рекомендуется инвазивная КАГ с целью диагностики обструктивного поражения эпикардиальных коронарных артерий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08">
        <w:r>
          <w:rPr>
            <w:color w:val="0000FF"/>
          </w:rPr>
          <w:t>74</w:t>
        </w:r>
      </w:hyperlink>
      <w:r>
        <w:t xml:space="preserve">, </w:t>
      </w:r>
      <w:hyperlink w:anchor="P1147">
        <w:r>
          <w:rPr>
            <w:color w:val="0000FF"/>
          </w:rPr>
          <w:t>113</w:t>
        </w:r>
      </w:hyperlink>
      <w:r>
        <w:t xml:space="preserve">, </w:t>
      </w:r>
      <w:hyperlink w:anchor="P1276">
        <w:r>
          <w:rPr>
            <w:color w:val="0000FF"/>
          </w:rPr>
          <w:t>242</w:t>
        </w:r>
      </w:hyperlink>
      <w:r>
        <w:t xml:space="preserve">, </w:t>
      </w:r>
      <w:hyperlink w:anchor="P1281">
        <w:r>
          <w:rPr>
            <w:color w:val="0000FF"/>
          </w:rPr>
          <w:t>247</w:t>
        </w:r>
      </w:hyperlink>
      <w:r>
        <w:t xml:space="preserve">, </w:t>
      </w:r>
      <w:hyperlink w:anchor="P1282">
        <w:r>
          <w:rPr>
            <w:color w:val="0000FF"/>
          </w:rPr>
          <w:t>248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 с типичными болями в грудной клетке (&lt; 3 класс стенокардии по классификации Канадского сердечно-сосудистого общества - CCS), у которых есть промежуточная предтестовая вероятность атеросклеротической ишемической болезни сердца с учетом возраста, пола и факторов риска атеросклероза рекомендуется КАГ или КТ-ангиография с целью диагностики обструктивного поражения эпикардиальных коронарных артерий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08">
        <w:r>
          <w:rPr>
            <w:color w:val="0000FF"/>
          </w:rPr>
          <w:t>74</w:t>
        </w:r>
      </w:hyperlink>
      <w:r>
        <w:t xml:space="preserve">, </w:t>
      </w:r>
      <w:hyperlink w:anchor="P1276">
        <w:r>
          <w:rPr>
            <w:color w:val="0000FF"/>
          </w:rPr>
          <w:t>242</w:t>
        </w:r>
      </w:hyperlink>
      <w:r>
        <w:t xml:space="preserve">, </w:t>
      </w:r>
      <w:hyperlink w:anchor="P1283">
        <w:r>
          <w:rPr>
            <w:color w:val="0000FF"/>
          </w:rPr>
          <w:t>249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Для всех пациентов с ГКМП старше 40 лет рекомендуется КАГ или КТ-ангиография до редукции МЖП, независимо от наличия типичного стенокардитического болевого синдрома с целью диагностики обструктивного поражения эпикардиальных коронарных артерий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276">
        <w:r>
          <w:rPr>
            <w:color w:val="0000FF"/>
          </w:rPr>
          <w:t>242</w:t>
        </w:r>
      </w:hyperlink>
      <w:r>
        <w:t xml:space="preserve">, </w:t>
      </w:r>
      <w:hyperlink w:anchor="P1282">
        <w:r>
          <w:rPr>
            <w:color w:val="0000FF"/>
          </w:rPr>
          <w:t>248</w:t>
        </w:r>
      </w:hyperlink>
      <w:r>
        <w:t xml:space="preserve">, </w:t>
      </w:r>
      <w:hyperlink w:anchor="P1284">
        <w:r>
          <w:rPr>
            <w:color w:val="0000FF"/>
          </w:rPr>
          <w:t>250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необходимость КАГ диктуется особенностью врачебной тактики. При INOCA у пациентов с ГКМП появляется необходимость в постановке стентов при меньшей, чем принято у пациентов с ИБС, степенью стеноза, т.е. при стенозах &lt; 50%. (см. раздел "Диагностика ГКМП у отдельных категорий пациентов" и раздел "Патогенез") [</w:t>
      </w:r>
      <w:hyperlink w:anchor="P1108">
        <w:r>
          <w:rPr>
            <w:color w:val="0000FF"/>
          </w:rPr>
          <w:t>74</w:t>
        </w:r>
      </w:hyperlink>
      <w:r>
        <w:t xml:space="preserve">, </w:t>
      </w:r>
      <w:hyperlink w:anchor="P1110">
        <w:r>
          <w:rPr>
            <w:color w:val="0000FF"/>
          </w:rPr>
          <w:t>76</w:t>
        </w:r>
      </w:hyperlink>
      <w:r>
        <w:t xml:space="preserve">, </w:t>
      </w:r>
      <w:hyperlink w:anchor="P1116">
        <w:r>
          <w:rPr>
            <w:color w:val="0000FF"/>
          </w:rPr>
          <w:t>82</w:t>
        </w:r>
      </w:hyperlink>
      <w:r>
        <w:t xml:space="preserve">, </w:t>
      </w:r>
      <w:hyperlink w:anchor="P1119">
        <w:r>
          <w:rPr>
            <w:color w:val="0000FF"/>
          </w:rPr>
          <w:t>85</w:t>
        </w:r>
      </w:hyperlink>
      <w:r>
        <w:t xml:space="preserve">, </w:t>
      </w:r>
      <w:hyperlink w:anchor="P1285">
        <w:r>
          <w:rPr>
            <w:color w:val="0000FF"/>
          </w:rPr>
          <w:t>251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Инвазивное измерение давления в полостях сердца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Катетеризация сердца для оценки функции желудочков и давления заклинивания легочной артерии рекомендуется у пациентов, которым планируется трансплантация сердца или механическая поддержка кровообращения [</w:t>
      </w:r>
      <w:hyperlink w:anchor="P1286">
        <w:r>
          <w:rPr>
            <w:color w:val="0000FF"/>
          </w:rPr>
          <w:t>252</w:t>
        </w:r>
      </w:hyperlink>
      <w:r>
        <w:t xml:space="preserve"> - </w:t>
      </w:r>
      <w:hyperlink w:anchor="P1291">
        <w:r>
          <w:rPr>
            <w:color w:val="0000FF"/>
          </w:rPr>
          <w:t>257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У симптомных пациентов с неопределенными результатами неинвазивной визуализации сердца рекомендовано рассмотреть возможность катетеризации левого и правого желудочков для оценки тяжести обструкции ВТЛЖ/ВТПЖ и измерения давления наполнения ЛЖ/ПЖ </w:t>
      </w:r>
      <w:hyperlink w:anchor="P1103">
        <w:r>
          <w:rPr>
            <w:color w:val="0000FF"/>
          </w:rPr>
          <w:t>[69]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Электрофизиологическое тестирование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Внутрисердечное электрофизиологическое исследование рекомендуется пациентам с документированными персистирующими или периодическими наджелудочковыми тахикардиями (трепетание предсердий, предсердная тахикардия, атриовентрикулярная узловая риентри тахикардия, тахикардия, опосредованная добавочными проводящими путями) и пациентам с синдромом раннего возбуждения желудочков, для идентификации субстрата аблации и лечения [</w:t>
      </w:r>
      <w:hyperlink w:anchor="P1054">
        <w:r>
          <w:rPr>
            <w:color w:val="0000FF"/>
          </w:rPr>
          <w:t>20</w:t>
        </w:r>
      </w:hyperlink>
      <w:r>
        <w:t xml:space="preserve">, </w:t>
      </w:r>
      <w:hyperlink w:anchor="P1147">
        <w:r>
          <w:rPr>
            <w:color w:val="0000FF"/>
          </w:rPr>
          <w:t>113</w:t>
        </w:r>
      </w:hyperlink>
      <w:r>
        <w:t xml:space="preserve">, </w:t>
      </w:r>
      <w:hyperlink w:anchor="P1210">
        <w:r>
          <w:rPr>
            <w:color w:val="0000FF"/>
          </w:rPr>
          <w:t>176</w:t>
        </w:r>
      </w:hyperlink>
      <w:r>
        <w:t xml:space="preserve">, </w:t>
      </w:r>
      <w:hyperlink w:anchor="P1219">
        <w:r>
          <w:rPr>
            <w:color w:val="0000FF"/>
          </w:rPr>
          <w:t>185</w:t>
        </w:r>
      </w:hyperlink>
      <w:r>
        <w:t xml:space="preserve">, </w:t>
      </w:r>
      <w:hyperlink w:anchor="P1292">
        <w:r>
          <w:rPr>
            <w:color w:val="0000FF"/>
          </w:rPr>
          <w:t>258</w:t>
        </w:r>
      </w:hyperlink>
      <w:r>
        <w:t xml:space="preserve"> - </w:t>
      </w:r>
      <w:hyperlink w:anchor="P1295">
        <w:r>
          <w:rPr>
            <w:color w:val="0000FF"/>
          </w:rPr>
          <w:t>261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- Для отдельных пациентов с документированными, симптомными, мономорфными устойчивыми (&gt; 30 с) ЖТ рекомендовано рассмотреть возможность внутрисердечного электрофизиологического исследования для идентификации субстрата аблации и лечения [</w:t>
      </w:r>
      <w:hyperlink w:anchor="P1210">
        <w:r>
          <w:rPr>
            <w:color w:val="0000FF"/>
          </w:rPr>
          <w:t>176</w:t>
        </w:r>
      </w:hyperlink>
      <w:r>
        <w:t xml:space="preserve">, </w:t>
      </w:r>
      <w:hyperlink w:anchor="P1293">
        <w:r>
          <w:rPr>
            <w:color w:val="0000FF"/>
          </w:rPr>
          <w:t>259</w:t>
        </w:r>
      </w:hyperlink>
      <w:r>
        <w:t xml:space="preserve">, </w:t>
      </w:r>
      <w:hyperlink w:anchor="P1294">
        <w:r>
          <w:rPr>
            <w:color w:val="0000FF"/>
          </w:rPr>
          <w:t>260</w:t>
        </w:r>
      </w:hyperlink>
      <w:r>
        <w:t xml:space="preserve">, </w:t>
      </w:r>
      <w:hyperlink w:anchor="P1296">
        <w:r>
          <w:rPr>
            <w:color w:val="0000FF"/>
          </w:rPr>
          <w:t>262</w:t>
        </w:r>
      </w:hyperlink>
      <w:r>
        <w:t xml:space="preserve">, </w:t>
      </w:r>
      <w:hyperlink w:anchor="P1297">
        <w:r>
          <w:rPr>
            <w:color w:val="0000FF"/>
          </w:rPr>
          <w:t>263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пациентам с ГКМП не рекомендовано внутрисердечное электрофизиологическое исследование с программируемой желудочковой стимуляцией в качестве рутинной процедуры для стратификации риска ВСС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5">
        <w:r>
          <w:rPr>
            <w:color w:val="0000FF"/>
          </w:rPr>
          <w:t>111</w:t>
        </w:r>
      </w:hyperlink>
      <w:r>
        <w:t xml:space="preserve">, </w:t>
      </w:r>
      <w:hyperlink w:anchor="P1210">
        <w:r>
          <w:rPr>
            <w:color w:val="0000FF"/>
          </w:rPr>
          <w:t>176</w:t>
        </w:r>
      </w:hyperlink>
      <w:r>
        <w:t xml:space="preserve">, </w:t>
      </w:r>
      <w:hyperlink w:anchor="P1296">
        <w:r>
          <w:rPr>
            <w:color w:val="0000FF"/>
          </w:rPr>
          <w:t>262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Нагрузочные тесты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Тредмил-тест с мониторированием ЭКГ и АД рекомендуется для стратификации риска ВСС пациентов с ГКМП, при недоступности эргоспирометрии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298">
        <w:r>
          <w:rPr>
            <w:color w:val="0000FF"/>
          </w:rPr>
          <w:t>264</w:t>
        </w:r>
      </w:hyperlink>
      <w:r>
        <w:t xml:space="preserve">, </w:t>
      </w:r>
      <w:hyperlink w:anchor="P1299">
        <w:r>
          <w:rPr>
            <w:color w:val="0000FF"/>
          </w:rPr>
          <w:t>265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ГКМП, у которых в покое максимальный ГД в ВТЛЖ &lt; 30 мм рт. ст., при пробе Вальсальвы ГД &lt; 50 мм рт. ст. рекомендуется проведение ТТ-ЭХОКГ в условиях нагрузки (стресс-ЭХОКГ) для определения и количественной оценки динамической обструкции ВТЛЖ [</w:t>
      </w:r>
      <w:hyperlink w:anchor="P1186">
        <w:r>
          <w:rPr>
            <w:color w:val="0000FF"/>
          </w:rPr>
          <w:t>152</w:t>
        </w:r>
      </w:hyperlink>
      <w:r>
        <w:t xml:space="preserve">, </w:t>
      </w:r>
      <w:hyperlink w:anchor="P1242">
        <w:r>
          <w:rPr>
            <w:color w:val="0000FF"/>
          </w:rPr>
          <w:t>208</w:t>
        </w:r>
      </w:hyperlink>
      <w:r>
        <w:t xml:space="preserve">, </w:t>
      </w:r>
      <w:hyperlink w:anchor="P1245">
        <w:r>
          <w:rPr>
            <w:color w:val="0000FF"/>
          </w:rPr>
          <w:t>211</w:t>
        </w:r>
      </w:hyperlink>
      <w:r>
        <w:t xml:space="preserve">, </w:t>
      </w:r>
      <w:hyperlink w:anchor="P1300">
        <w:r>
          <w:rPr>
            <w:color w:val="0000FF"/>
          </w:rPr>
          <w:t>266</w:t>
        </w:r>
      </w:hyperlink>
      <w:r>
        <w:t xml:space="preserve">, </w:t>
      </w:r>
      <w:hyperlink w:anchor="P1301">
        <w:r>
          <w:rPr>
            <w:color w:val="0000FF"/>
          </w:rPr>
          <w:t>267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варианты нагрузочных тестов представлены в </w:t>
      </w:r>
      <w:hyperlink w:anchor="P2126">
        <w:r>
          <w:rPr>
            <w:color w:val="0000FF"/>
          </w:rPr>
          <w:t>таблице П7</w:t>
        </w:r>
      </w:hyperlink>
      <w:r>
        <w:t>, Приложение Г1.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Вопросы, на которые должна ответить стресс-ЭХОКГ (должны быть отражены в заключении):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Величина нарастания ГД в ВТЛЖ на пике нагрузки и в восстановительном периоде.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Реакция АД на нагрузку.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3. Индуцируется ли нагрузкой ишемия миокарда 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4. Усугубляется ли диастолическая дисфункция (E/A, E/e').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5. Степень изменения митральной регургитации на фоне стресс-ЭХОКГ (динамическая МР).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Наиболее подходит для стресс-ЭХОКГ у пациентов с ГКМП "лежачий велоэргометр", который позволяет получать ЭХОКГ-изображения на разных ступенях нагрузочной пробы (рекомендуется регистрация показателей на ступени нагрузки 50 вт., на пике нагрузки и в восстановительном периоде). Использование тредмила и сидячего велоэргометра не позволяет регистрировать ЭХОКГ-показатели в процессе проведения нагрузки, поэтому регистрация проводится немедленно после ее прекращения и в восстановительном периоде. Показано, что максимальный ГД в ВТЛЖ на пике нагрузки и сразу после ее прекращения почти совпадают </w:t>
      </w:r>
      <w:hyperlink w:anchor="P1242">
        <w:r>
          <w:rPr>
            <w:color w:val="0000FF"/>
          </w:rPr>
          <w:t>[208]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тредмил-тесте применяют протокол Брюса или модифицированный протокол Брюса. При велоэргометрии ступени теста - 50 - 100 - 150 вт.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У пациентов с ГКМП не рекомендуется проводить стресс-ЭХОКГ с добутамином из-за высокого риска индукции ЖНР. Кроме того, добутамин может спровоцировать увеличение ГД в ВТЛЖ у пациентов без ГКМП.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Во время проведения нагрузочного теста регистрируется ЭКГ (постоянно), АД (каждые 2 мин) и изменения клинической симптоматики.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Реакция АД на нагрузку является важнейшей частью нагрузочного тестирования. Неадекватная реакция АД входит в шкалу стратификации риска ВСС у пациентов с ГКМП.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Неадекватной реакцией АД считается: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гипотензивная (АД на пике нагрузки ниже исходного или если на первых ступенях нагрузки АД несколько повышается, а на пике нагрузки - более чем на 20 мм рт. ст. ниже этого уровня);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недостаточный прирост АД на пике нагрузки (менее 20 мм рт. ст.).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Критерии прекращения нагрузочного теста: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Достижение субмаксимальной ЧСС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Выраженная усталость и одышка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3. Боли в области сердца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4. Гипотензия (снижение АД &gt; 20 мм рт. ст. от исходного)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5. Жизнеопасные ЖНР [</w:t>
      </w:r>
      <w:hyperlink w:anchor="P1102">
        <w:r>
          <w:rPr>
            <w:color w:val="0000FF"/>
          </w:rPr>
          <w:t>68</w:t>
        </w:r>
      </w:hyperlink>
      <w:r>
        <w:t xml:space="preserve">, </w:t>
      </w:r>
      <w:hyperlink w:anchor="P1121">
        <w:r>
          <w:rPr>
            <w:color w:val="0000FF"/>
          </w:rPr>
          <w:t>87</w:t>
        </w:r>
      </w:hyperlink>
      <w:r>
        <w:t xml:space="preserve">, </w:t>
      </w:r>
      <w:hyperlink w:anchor="P1143">
        <w:r>
          <w:rPr>
            <w:color w:val="0000FF"/>
          </w:rPr>
          <w:t>109</w:t>
        </w:r>
      </w:hyperlink>
      <w:r>
        <w:t xml:space="preserve">, </w:t>
      </w:r>
      <w:hyperlink w:anchor="P1150">
        <w:r>
          <w:rPr>
            <w:color w:val="0000FF"/>
          </w:rPr>
          <w:t>116</w:t>
        </w:r>
      </w:hyperlink>
      <w:r>
        <w:t xml:space="preserve">, </w:t>
      </w:r>
      <w:hyperlink w:anchor="P1186">
        <w:r>
          <w:rPr>
            <w:color w:val="0000FF"/>
          </w:rPr>
          <w:t>152</w:t>
        </w:r>
      </w:hyperlink>
      <w:r>
        <w:t xml:space="preserve">, </w:t>
      </w:r>
      <w:hyperlink w:anchor="P1233">
        <w:r>
          <w:rPr>
            <w:color w:val="0000FF"/>
          </w:rPr>
          <w:t>199</w:t>
        </w:r>
      </w:hyperlink>
      <w:r>
        <w:t xml:space="preserve">, </w:t>
      </w:r>
      <w:hyperlink w:anchor="P1240">
        <w:r>
          <w:rPr>
            <w:color w:val="0000FF"/>
          </w:rPr>
          <w:t>206</w:t>
        </w:r>
      </w:hyperlink>
      <w:r>
        <w:t xml:space="preserve">, </w:t>
      </w:r>
      <w:hyperlink w:anchor="P1241">
        <w:r>
          <w:rPr>
            <w:color w:val="0000FF"/>
          </w:rPr>
          <w:t>207</w:t>
        </w:r>
      </w:hyperlink>
      <w:r>
        <w:t xml:space="preserve"> - </w:t>
      </w:r>
      <w:hyperlink w:anchor="P1246">
        <w:r>
          <w:rPr>
            <w:color w:val="0000FF"/>
          </w:rPr>
          <w:t>212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Эргоспирометрия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 с выраженной симптоматикой с систолической и/или диастолической дисфункцией ЛЖ, для определения показаний к трансплантации сердца или механической поддержке кровообращения рекомендуется эргоспирометрия (кардиопульмональное нагрузочное тестирование с одновременным измерением респираторных газов)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286">
        <w:r>
          <w:rPr>
            <w:color w:val="0000FF"/>
          </w:rPr>
          <w:t>252</w:t>
        </w:r>
      </w:hyperlink>
      <w:r>
        <w:t xml:space="preserve"> - </w:t>
      </w:r>
      <w:hyperlink w:anchor="P1288">
        <w:r>
          <w:rPr>
            <w:color w:val="0000FF"/>
          </w:rPr>
          <w:t>254</w:t>
        </w:r>
      </w:hyperlink>
      <w:r>
        <w:t xml:space="preserve">, </w:t>
      </w:r>
      <w:hyperlink w:anchor="P1290">
        <w:r>
          <w:rPr>
            <w:color w:val="0000FF"/>
          </w:rPr>
          <w:t>256</w:t>
        </w:r>
      </w:hyperlink>
      <w:r>
        <w:t xml:space="preserve">, </w:t>
      </w:r>
      <w:hyperlink w:anchor="P1291">
        <w:r>
          <w:rPr>
            <w:color w:val="0000FF"/>
          </w:rPr>
          <w:t>257</w:t>
        </w:r>
      </w:hyperlink>
      <w:r>
        <w:t xml:space="preserve">, </w:t>
      </w:r>
      <w:hyperlink w:anchor="P1302">
        <w:r>
          <w:rPr>
            <w:color w:val="0000FF"/>
          </w:rPr>
          <w:t>268</w:t>
        </w:r>
      </w:hyperlink>
      <w:r>
        <w:t xml:space="preserve"> - </w:t>
      </w:r>
      <w:hyperlink w:anchor="P1305">
        <w:r>
          <w:rPr>
            <w:color w:val="0000FF"/>
          </w:rPr>
          <w:t>271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3 УУР </w:t>
      </w:r>
      <w:hyperlink w:anchor="P1559">
        <w:r>
          <w:rPr>
            <w:color w:val="0000FF"/>
          </w:rPr>
          <w:t>B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ГКМП, независимо от симптоматики, рекомендована эргоспирометрия (или стандартный тредмил-тест, или велоэргометрия при его отсутствии) с целью оценки тяжести и механизма непереносимости физической нагрузки и изменений систолического АД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303">
        <w:r>
          <w:rPr>
            <w:color w:val="0000FF"/>
          </w:rPr>
          <w:t>269</w:t>
        </w:r>
      </w:hyperlink>
      <w:r>
        <w:t xml:space="preserve">, </w:t>
      </w:r>
      <w:hyperlink w:anchor="P1306">
        <w:r>
          <w:rPr>
            <w:color w:val="0000FF"/>
          </w:rPr>
          <w:t>272</w:t>
        </w:r>
      </w:hyperlink>
      <w:r>
        <w:t xml:space="preserve">, </w:t>
      </w:r>
      <w:hyperlink w:anchor="P1307">
        <w:r>
          <w:rPr>
            <w:color w:val="0000FF"/>
          </w:rPr>
          <w:t>273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Эргоспирометрия (или стандартный тредмил-тест, или велоэргометрия при его отсутствии) рекомендована симптомным пациентам, которым планируется СМЭ/РМЭ для определения ограничений по нагрузке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303">
        <w:r>
          <w:rPr>
            <w:color w:val="0000FF"/>
          </w:rPr>
          <w:t>269</w:t>
        </w:r>
      </w:hyperlink>
      <w:r>
        <w:t xml:space="preserve">, </w:t>
      </w:r>
      <w:hyperlink w:anchor="P1306">
        <w:r>
          <w:rPr>
            <w:color w:val="0000FF"/>
          </w:rPr>
          <w:t>272</w:t>
        </w:r>
      </w:hyperlink>
      <w:r>
        <w:t xml:space="preserve">, </w:t>
      </w:r>
      <w:hyperlink w:anchor="P1307">
        <w:r>
          <w:rPr>
            <w:color w:val="0000FF"/>
          </w:rPr>
          <w:t>273</w:t>
        </w:r>
      </w:hyperlink>
      <w:r>
        <w:t xml:space="preserve">, </w:t>
      </w:r>
      <w:hyperlink w:anchor="P1308">
        <w:r>
          <w:rPr>
            <w:color w:val="0000FF"/>
          </w:rPr>
          <w:t>274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2.5 Иные диагностические исследования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2.5.1 Биопсия миокарда и абдоминального жира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Биопсия миокарда рекомендована при подозрении на инфильтративные, воспалительные заболевания сердца или болезни накопления, которые не могут быть подтверждены другими методами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84">
        <w:r>
          <w:rPr>
            <w:color w:val="0000FF"/>
          </w:rPr>
          <w:t>50</w:t>
        </w:r>
      </w:hyperlink>
      <w:r>
        <w:t xml:space="preserve">, </w:t>
      </w:r>
      <w:hyperlink w:anchor="P1309">
        <w:r>
          <w:rPr>
            <w:color w:val="0000FF"/>
          </w:rPr>
          <w:t>275</w:t>
        </w:r>
      </w:hyperlink>
      <w:r>
        <w:t xml:space="preserve">, </w:t>
      </w:r>
      <w:hyperlink w:anchor="P1310">
        <w:r>
          <w:rPr>
            <w:color w:val="0000FF"/>
          </w:rPr>
          <w:t>276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Биопсия абдоминального жира рекомендована при подозрении на амилоидоз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59">
        <w:r>
          <w:rPr>
            <w:color w:val="0000FF"/>
          </w:rPr>
          <w:t>25</w:t>
        </w:r>
      </w:hyperlink>
      <w:r>
        <w:t xml:space="preserve">, </w:t>
      </w:r>
      <w:hyperlink w:anchor="P1071">
        <w:r>
          <w:rPr>
            <w:color w:val="0000FF"/>
          </w:rPr>
          <w:t>37</w:t>
        </w:r>
      </w:hyperlink>
      <w:r>
        <w:t xml:space="preserve">, </w:t>
      </w:r>
      <w:hyperlink w:anchor="P1087">
        <w:r>
          <w:rPr>
            <w:color w:val="0000FF"/>
          </w:rPr>
          <w:t>53</w:t>
        </w:r>
      </w:hyperlink>
      <w:r>
        <w:t xml:space="preserve">, </w:t>
      </w:r>
      <w:hyperlink w:anchor="P1310">
        <w:r>
          <w:rPr>
            <w:color w:val="0000FF"/>
          </w:rPr>
          <w:t>276</w:t>
        </w:r>
      </w:hyperlink>
      <w:r>
        <w:t xml:space="preserve">, </w:t>
      </w:r>
      <w:hyperlink w:anchor="P1311">
        <w:r>
          <w:rPr>
            <w:color w:val="0000FF"/>
          </w:rPr>
          <w:t>277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 xml:space="preserve">ЕОК IIaB (УДД 2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2.5.2 Диагностика заболевания у отдельных категорий пациентов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4"/>
      </w:pPr>
      <w:r>
        <w:t>Дифференциальный диагноз ГКМП и ГЛЖ вследствие артериальной гипертензии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 естественное течение ГКМП оказывает влияние наличие факторов кардиометаболического риска (АГ, ожирение/избыточная масса тела), встречаемость которых увеличивается с возрастом [</w:t>
      </w:r>
      <w:hyperlink w:anchor="P1312">
        <w:r>
          <w:rPr>
            <w:color w:val="0000FF"/>
          </w:rPr>
          <w:t>278</w:t>
        </w:r>
      </w:hyperlink>
      <w:r>
        <w:t xml:space="preserve"> - </w:t>
      </w:r>
      <w:hyperlink w:anchor="P1316">
        <w:r>
          <w:rPr>
            <w:color w:val="0000FF"/>
          </w:rPr>
          <w:t>282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старшей возрастной группе пациентов с доказанной ГКМП встречаемость АГ составляет 70 - 90%. По определению при ГКМП гипертрофия миокарда ЛЖ не обусловлена нагрузкой давлением, но АГ - это нагрузка давлением, поэтому в случае сочетания ГКМП с АГ требуется модификация критериев ГКМП.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Вероятность ГКМП у пациентов с АГ повышается при наличии одного и более из следующих критериев: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указание на семейный анамнез ГКМП или внезапную сердечную смерть (ВСС) в молодом возрасте у родственников первой линии родства;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2. несоответствие между выраженной гипертрофией ЛЖ (максимальная толщина стенок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15 мм) и недавно возникшей легкой и умеренной АГ при адекватной приверженности пациента терапии, а также других причин, способных вызвать подобную степень ГЛЖ.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Возможным вариантом критерия ГКМП при сопутствующей АГ является толщина миокарда ЛЖ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20 мм; толщина миокарда 15 - 20 мм представляет "серую зону".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Выбор критерия ГКМП "толщина стенки ЛЖ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20 мм" при сопутствующей АГ обусловлен тем, что показано: при перегрузке давлением (АГ, аортальный стеноз или их сочетание) толщина миокарда ЛЖ, как правило, не превышает 20 мм (в некоторых исследованиях превышает 20 мм лишь у единичных пациентов) [</w:t>
      </w:r>
      <w:hyperlink w:anchor="P1116">
        <w:r>
          <w:rPr>
            <w:color w:val="0000FF"/>
          </w:rPr>
          <w:t>82</w:t>
        </w:r>
      </w:hyperlink>
      <w:r>
        <w:t xml:space="preserve">, </w:t>
      </w:r>
      <w:hyperlink w:anchor="P1246">
        <w:r>
          <w:rPr>
            <w:color w:val="0000FF"/>
          </w:rPr>
          <w:t>212</w:t>
        </w:r>
      </w:hyperlink>
      <w:r>
        <w:t xml:space="preserve">, </w:t>
      </w:r>
      <w:hyperlink w:anchor="P1281">
        <w:r>
          <w:rPr>
            <w:color w:val="0000FF"/>
          </w:rPr>
          <w:t>247</w:t>
        </w:r>
      </w:hyperlink>
      <w:r>
        <w:t xml:space="preserve">, </w:t>
      </w:r>
      <w:hyperlink w:anchor="P1312">
        <w:r>
          <w:rPr>
            <w:color w:val="0000FF"/>
          </w:rPr>
          <w:t>278</w:t>
        </w:r>
      </w:hyperlink>
      <w:r>
        <w:t xml:space="preserve">, </w:t>
      </w:r>
      <w:hyperlink w:anchor="P1313">
        <w:r>
          <w:rPr>
            <w:color w:val="0000FF"/>
          </w:rPr>
          <w:t>279</w:t>
        </w:r>
      </w:hyperlink>
      <w:r>
        <w:t xml:space="preserve">, </w:t>
      </w:r>
      <w:hyperlink w:anchor="P1317">
        <w:r>
          <w:rPr>
            <w:color w:val="0000FF"/>
          </w:rPr>
          <w:t>283</w:t>
        </w:r>
      </w:hyperlink>
      <w:r>
        <w:t xml:space="preserve"> - </w:t>
      </w:r>
      <w:hyperlink w:anchor="P1322">
        <w:r>
          <w:rPr>
            <w:color w:val="0000FF"/>
          </w:rPr>
          <w:t>288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Если выявленная толщина миокарда у пациента в "серой зоне" (15 - 20 мм), то вывод о диагнозе ГКМП можно сделать только на основании тщательного анализа большого числа факторов: семейный анамнез, длительность АГ, уровень "нагрузки давлением" (эпизодические повышения АД или стабильно повышенное АД), приверженность пациента терапии АГ, наличие изменений ЭКГ/ЭХОКГ до развития АГ, динамика размеров полостей сердца и увеличения толщины стенок ЛЖ при ЭХОКГ/МРТ и др.).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Следует также учитывать, что при АГ может наблюдаться асимметричная ГЛЖ - по некоторым данным, до 20% (т.е. соотношение тМЖП/тЗС &gt; 1,5) [</w:t>
      </w:r>
      <w:hyperlink w:anchor="P1281">
        <w:r>
          <w:rPr>
            <w:color w:val="0000FF"/>
          </w:rPr>
          <w:t>247</w:t>
        </w:r>
      </w:hyperlink>
      <w:r>
        <w:t xml:space="preserve">, </w:t>
      </w:r>
      <w:hyperlink w:anchor="P1321">
        <w:r>
          <w:rPr>
            <w:color w:val="0000FF"/>
          </w:rPr>
          <w:t>287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4"/>
      </w:pPr>
      <w:r>
        <w:t>ГКМП и базальная септальная гипертрофия (S-образная МЖП с "выпуклостью" в базальном сегменте)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У пожилых пациентов с S-образной МЖП может выявляться "выпуклость" (англ. bulge) в базальной части перегородки, которая не обусловлена ГКМП. Как правило, у этих пациентов присутствует сопутствующая АГ и/или патология аортального клапана (небольшая аортальная регургитация и/или невыраженный аортальный стеноз) [</w:t>
      </w:r>
      <w:hyperlink w:anchor="P1236">
        <w:r>
          <w:rPr>
            <w:color w:val="0000FF"/>
          </w:rPr>
          <w:t>202</w:t>
        </w:r>
      </w:hyperlink>
      <w:r>
        <w:t xml:space="preserve">, </w:t>
      </w:r>
      <w:hyperlink w:anchor="P1237">
        <w:r>
          <w:rPr>
            <w:color w:val="0000FF"/>
          </w:rPr>
          <w:t>203</w:t>
        </w:r>
      </w:hyperlink>
      <w:r>
        <w:t xml:space="preserve">, </w:t>
      </w:r>
      <w:hyperlink w:anchor="P1281">
        <w:r>
          <w:rPr>
            <w:color w:val="0000FF"/>
          </w:rPr>
          <w:t>247</w:t>
        </w:r>
      </w:hyperlink>
      <w:r>
        <w:t xml:space="preserve">, </w:t>
      </w:r>
      <w:hyperlink w:anchor="P1320">
        <w:r>
          <w:rPr>
            <w:color w:val="0000FF"/>
          </w:rPr>
          <w:t>286</w:t>
        </w:r>
      </w:hyperlink>
      <w:r>
        <w:t xml:space="preserve">, </w:t>
      </w:r>
      <w:hyperlink w:anchor="P1323">
        <w:r>
          <w:rPr>
            <w:color w:val="0000FF"/>
          </w:rPr>
          <w:t>289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Базальная септальная гипертрофия может приводить к увеличению ГД в ВТЛЖ, как правило, не выше 15 - 20 мм рт. ст. в покое и возрастать до 35 мм рт. ст. при нагрузочных пробах </w:t>
      </w:r>
      <w:hyperlink w:anchor="P1246">
        <w:r>
          <w:rPr>
            <w:color w:val="0000FF"/>
          </w:rPr>
          <w:t>[212]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Схема дифференциального диагноза ГКМП и базальной септальной гипертрофии представлена в </w:t>
      </w:r>
      <w:hyperlink w:anchor="P2155">
        <w:r>
          <w:rPr>
            <w:color w:val="0000FF"/>
          </w:rPr>
          <w:t>таблице П10</w:t>
        </w:r>
      </w:hyperlink>
      <w:r>
        <w:t>, Приложение Г1.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4"/>
      </w:pPr>
      <w:r>
        <w:t>ГКМП и инфаркт миокарда 1 и 2 типов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Клинически у пациентов с ГКМП и ишемией миокарда (INOCA) может развиваться острый коронарный синдром и инфаркт миокарда (ИМ) [</w:t>
      </w:r>
      <w:hyperlink w:anchor="P1108">
        <w:r>
          <w:rPr>
            <w:color w:val="0000FF"/>
          </w:rPr>
          <w:t>74</w:t>
        </w:r>
      </w:hyperlink>
      <w:r>
        <w:t xml:space="preserve">, </w:t>
      </w:r>
      <w:hyperlink w:anchor="P1110">
        <w:r>
          <w:rPr>
            <w:color w:val="0000FF"/>
          </w:rPr>
          <w:t>76</w:t>
        </w:r>
      </w:hyperlink>
      <w:r>
        <w:t xml:space="preserve">, </w:t>
      </w:r>
      <w:hyperlink w:anchor="P1122">
        <w:r>
          <w:rPr>
            <w:color w:val="0000FF"/>
          </w:rPr>
          <w:t>88</w:t>
        </w:r>
      </w:hyperlink>
      <w:r>
        <w:t xml:space="preserve">, </w:t>
      </w:r>
      <w:hyperlink w:anchor="P1283">
        <w:r>
          <w:rPr>
            <w:color w:val="0000FF"/>
          </w:rPr>
          <w:t>249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ИМ при необструктивном поражении эпикардиальных коронарных артерий, ИМБОКА (MINOCA) - это "рабочий диагноз", требующий уточнения причины, лежащей в основе у конкретного пациента.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В генезе ИМ при ГКМП могут обсуждаться следующие патогенетические механизмы (см. также </w:t>
      </w:r>
      <w:hyperlink w:anchor="P2151">
        <w:r>
          <w:rPr>
            <w:color w:val="0000FF"/>
          </w:rPr>
          <w:t>таблицу П9</w:t>
        </w:r>
      </w:hyperlink>
      <w:r>
        <w:t>, Приложение Г1).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Ишемия при необструктивном поражении эпикардиальных коронарных артерий (INOCA - Ischemia with Non-Obstructive Coronary Arteries) (см. раздел "Патогенез").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Ишемия при обструктивном поражении эпикардиальных коронарных артерий - ИБС в старшей возрастной группе пациентов с ГКМП.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ГКМП может развиться ИМ 1 типа, диагностика и лечение которого изложены в соответствующих клинических рекомендациях.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Для исключения/подтверждения обструктивного поражения эпикардиальных коронарных артерий пациентам с ГКМП показана инвазивная КАГ или КТ ангиография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Одновременно с КАГ пациентам с ГКМП рекомендуется выполнять ЛЖ-вентрикулорафию, которая выявляет у пациента либо "эпикардиальный паттерн" (зоны нарушения сократимости в пределах стенозированных коронарных артерий), либо "микроваскулярный паттерн" (зоны нарушения сократимости в бассейнах разных коронарных артерий, в том числе и без стенозов) [</w:t>
      </w:r>
      <w:hyperlink w:anchor="P1108">
        <w:r>
          <w:rPr>
            <w:color w:val="0000FF"/>
          </w:rPr>
          <w:t>74</w:t>
        </w:r>
      </w:hyperlink>
      <w:r>
        <w:t xml:space="preserve">, </w:t>
      </w:r>
      <w:hyperlink w:anchor="P1110">
        <w:r>
          <w:rPr>
            <w:color w:val="0000FF"/>
          </w:rPr>
          <w:t>76</w:t>
        </w:r>
      </w:hyperlink>
      <w:r>
        <w:t xml:space="preserve">, </w:t>
      </w:r>
      <w:hyperlink w:anchor="P1111">
        <w:r>
          <w:rPr>
            <w:color w:val="0000FF"/>
          </w:rPr>
          <w:t>77</w:t>
        </w:r>
      </w:hyperlink>
      <w:r>
        <w:t xml:space="preserve">, </w:t>
      </w:r>
      <w:hyperlink w:anchor="P1119">
        <w:r>
          <w:rPr>
            <w:color w:val="0000FF"/>
          </w:rPr>
          <w:t>85</w:t>
        </w:r>
      </w:hyperlink>
      <w:r>
        <w:t xml:space="preserve">, </w:t>
      </w:r>
      <w:hyperlink w:anchor="P1120">
        <w:r>
          <w:rPr>
            <w:color w:val="0000FF"/>
          </w:rPr>
          <w:t>86</w:t>
        </w:r>
      </w:hyperlink>
      <w:r>
        <w:t xml:space="preserve">, </w:t>
      </w:r>
      <w:hyperlink w:anchor="P1122">
        <w:r>
          <w:rPr>
            <w:color w:val="0000FF"/>
          </w:rPr>
          <w:t>88</w:t>
        </w:r>
      </w:hyperlink>
      <w:r>
        <w:t xml:space="preserve">, </w:t>
      </w:r>
      <w:hyperlink w:anchor="P1285">
        <w:r>
          <w:rPr>
            <w:color w:val="0000FF"/>
          </w:rPr>
          <w:t>251</w:t>
        </w:r>
      </w:hyperlink>
      <w:r>
        <w:t xml:space="preserve">, </w:t>
      </w:r>
      <w:hyperlink w:anchor="P1324">
        <w:r>
          <w:rPr>
            <w:color w:val="0000FF"/>
          </w:rPr>
          <w:t>290</w:t>
        </w:r>
      </w:hyperlink>
      <w:r>
        <w:t xml:space="preserve"> - </w:t>
      </w:r>
      <w:hyperlink w:anchor="P1329">
        <w:r>
          <w:rPr>
            <w:color w:val="0000FF"/>
          </w:rPr>
          <w:t>295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Данный феномен в отечественной литературе называется "ИМБОКА" - инфаркт миокарда без обструкции коронарных артерий (англоязычный термин - MINOCA) или ИМ 2 типа. ИМ 2 типа (ИМБОКА, MINOCA) - это ИМ, развивающийся без атеротромбоза, из-за несоответствия между потребностью миокарда в кислороде и его доставкой.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Ишемия при необструктивном поражении эпикардиальных коронарных артерий (INOCA - Ischemia with Non-Obstructive Coronary Arteries) имеет общий патогенетический механизм как при кардиомиопатиях, так и при фенокопиях ГКМП, например, при амилоидной кардиомиопатии. </w:t>
      </w:r>
      <w:hyperlink w:anchor="P1090">
        <w:r>
          <w:rPr>
            <w:color w:val="0000FF"/>
          </w:rPr>
          <w:t>[56]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4"/>
      </w:pPr>
      <w:r>
        <w:t>Гипертрофическая кардиомиопатия и ГЛЖ у спортсменов. Рекомендации по занятию спортом, физкультурой, участию в спортивных соревнованиях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 независимо от возраста, пола, расовой принадлежности, наличия обструкции ВТЛЖ, проведенных ранее операции СМЭ/РМЭ или САА, или имплантации ИКД***, не рекомендовано (противопоказано) участие в спортивных соревнованиях и упражнениях высокой интенсивности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7">
        <w:r>
          <w:rPr>
            <w:color w:val="0000FF"/>
          </w:rPr>
          <w:t>113</w:t>
        </w:r>
      </w:hyperlink>
      <w:r>
        <w:t xml:space="preserve">, </w:t>
      </w:r>
      <w:hyperlink w:anchor="P1192">
        <w:r>
          <w:rPr>
            <w:color w:val="0000FF"/>
          </w:rPr>
          <w:t>158</w:t>
        </w:r>
      </w:hyperlink>
      <w:r>
        <w:t xml:space="preserve">, </w:t>
      </w:r>
      <w:hyperlink w:anchor="P1216">
        <w:r>
          <w:rPr>
            <w:color w:val="0000FF"/>
          </w:rPr>
          <w:t>182</w:t>
        </w:r>
      </w:hyperlink>
      <w:r>
        <w:t xml:space="preserve">, </w:t>
      </w:r>
      <w:hyperlink w:anchor="P1292">
        <w:r>
          <w:rPr>
            <w:color w:val="0000FF"/>
          </w:rPr>
          <w:t>258</w:t>
        </w:r>
      </w:hyperlink>
      <w:r>
        <w:t xml:space="preserve">, </w:t>
      </w:r>
      <w:hyperlink w:anchor="P1330">
        <w:r>
          <w:rPr>
            <w:color w:val="0000FF"/>
          </w:rPr>
          <w:t>296</w:t>
        </w:r>
      </w:hyperlink>
      <w:r>
        <w:t xml:space="preserve"> - </w:t>
      </w:r>
      <w:hyperlink w:anchor="P1333">
        <w:r>
          <w:rPr>
            <w:color w:val="0000FF"/>
          </w:rPr>
          <w:t>299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из-за высокого риска ВСС занятия соревновательными видами спорта пациентам с ГКМП противопоказаны.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Для носителей явных патогенных мутаций без проявлений заболевания по ЭКГ и ЭХОКГ рекомендации по оптимальному уровню физической активности и характеру физических нагрузок должны быть сформулированы после консилиума с участием мультидисциплинарной команды </w:t>
      </w:r>
      <w:r>
        <w:lastRenderedPageBreak/>
        <w:t>специалистов (врач-генетик, врач-кардиолог, врач по спортивной медицине, медицинский психолог и др.) на основе рассмотрения выявленной мутации, результатов регулярных и повторных клинических исследований (МРТ с контрастированием, проведение стресс-ТТ-ЭХОКГ), с учетом стратификации риска ВСС на основе европейской и американской моделей.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Спортсмены высокого класса с ГЛЖ и толщиной стенки ЛЖ &gt; 13 мм (13 - 15 мм) составляют лишь небольшую часть (1,5 - 1,7%). Как правило, это спортсмены с большой массой тела. Именно у этой группы требуется дифференциальный диагноз с ГКМП [</w:t>
      </w:r>
      <w:hyperlink w:anchor="P1216">
        <w:r>
          <w:rPr>
            <w:color w:val="0000FF"/>
          </w:rPr>
          <w:t>182</w:t>
        </w:r>
      </w:hyperlink>
      <w:r>
        <w:t xml:space="preserve">, </w:t>
      </w:r>
      <w:hyperlink w:anchor="P1331">
        <w:r>
          <w:rPr>
            <w:color w:val="0000FF"/>
          </w:rPr>
          <w:t>297</w:t>
        </w:r>
      </w:hyperlink>
      <w:r>
        <w:t xml:space="preserve">, </w:t>
      </w:r>
      <w:hyperlink w:anchor="P1333">
        <w:r>
          <w:rPr>
            <w:color w:val="0000FF"/>
          </w:rPr>
          <w:t>299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Наиболее часто используемые показатели для дифференциальной диагностики ГКМП и адаптивной ГЛЖ у спортсменов представлены в </w:t>
      </w:r>
      <w:hyperlink w:anchor="P2159">
        <w:r>
          <w:rPr>
            <w:color w:val="0000FF"/>
          </w:rPr>
          <w:t>таблице П11</w:t>
        </w:r>
      </w:hyperlink>
      <w:r>
        <w:t>, Приложение Б.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Важным дифференциально-диагностическим признаком является выявление ПНГ при МРТ с контрастированием. Это свидетельствует в пользу ГКМП, однако отсутствие ПНГ не исключает заболевания.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Анализируя спортивную ГЛЖ, необходимо также принимать в расчет следующие факторы: вид спорта и интенсивность тренировок, возраст, пол (у мужчин ГЛЖ больше), рост и вес спортсмена. Окончательный вывод о диагнозе ГКМП у спортсмена делается на основе комплексной оценки как можно большего числа показателей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2.6 Стратификация риска и стратегии первичной и вторичной профилактики ВСС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Показатели ежегодной смертности от сердечно-сосудистых причин у взрослых пациентов с ГКМП составляют 1 - 2%. ВСС, ХСН и тромбоэмболические осложнения являются основными причинами.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Внезапная сердечная смерть (ВСС) - это смерть, наступающая неожиданно и мгновенно из-за кардиальных причин (у пациента без заболевания сердца или с таковым) в течение 1 ч. после появления первых симптомов ухудшения общего состояния.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 понятию ВСС не относят случаи насильственной смерти или смерти, возникающей в результате отравления, асфиксии, травмы или другого какого-либо несчастного случая.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Риск ВСС у пациентов с ГКМП без традиционных факторов риска составляет 5,9% за 10 лет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52">
        <w:r>
          <w:rPr>
            <w:color w:val="0000FF"/>
          </w:rPr>
          <w:t>118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- 5-летний риск ВСС рекомендуется оценивать при первичном обследовании пациента с ГКМП и в дальнейшем переоценивать каждые 1 - 2 года или при изменении клинического статуса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8">
        <w:r>
          <w:rPr>
            <w:color w:val="0000FF"/>
          </w:rPr>
          <w:t>114</w:t>
        </w:r>
      </w:hyperlink>
      <w:r>
        <w:t xml:space="preserve">, </w:t>
      </w:r>
      <w:hyperlink w:anchor="P1149">
        <w:r>
          <w:rPr>
            <w:color w:val="0000FF"/>
          </w:rPr>
          <w:t>115</w:t>
        </w:r>
      </w:hyperlink>
      <w:r>
        <w:t xml:space="preserve">, </w:t>
      </w:r>
      <w:hyperlink w:anchor="P1151">
        <w:r>
          <w:rPr>
            <w:color w:val="0000FF"/>
          </w:rPr>
          <w:t>117</w:t>
        </w:r>
      </w:hyperlink>
      <w:r>
        <w:t xml:space="preserve">, </w:t>
      </w:r>
      <w:hyperlink w:anchor="P1213">
        <w:r>
          <w:rPr>
            <w:color w:val="0000FF"/>
          </w:rPr>
          <w:t>179</w:t>
        </w:r>
      </w:hyperlink>
      <w:r>
        <w:t xml:space="preserve">, </w:t>
      </w:r>
      <w:hyperlink w:anchor="P1214">
        <w:r>
          <w:rPr>
            <w:color w:val="0000FF"/>
          </w:rPr>
          <w:t>180</w:t>
        </w:r>
      </w:hyperlink>
      <w:r>
        <w:t xml:space="preserve">, </w:t>
      </w:r>
      <w:hyperlink w:anchor="P1232">
        <w:r>
          <w:rPr>
            <w:color w:val="0000FF"/>
          </w:rPr>
          <w:t>198</w:t>
        </w:r>
      </w:hyperlink>
      <w:r>
        <w:t xml:space="preserve">, </w:t>
      </w:r>
      <w:hyperlink w:anchor="P1233">
        <w:r>
          <w:rPr>
            <w:color w:val="0000FF"/>
          </w:rPr>
          <w:t>199</w:t>
        </w:r>
      </w:hyperlink>
      <w:r>
        <w:t xml:space="preserve">, </w:t>
      </w:r>
      <w:hyperlink w:anchor="P1295">
        <w:r>
          <w:rPr>
            <w:color w:val="0000FF"/>
          </w:rPr>
          <w:t>261</w:t>
        </w:r>
      </w:hyperlink>
      <w:r>
        <w:t xml:space="preserve">, </w:t>
      </w:r>
      <w:hyperlink w:anchor="P1296">
        <w:r>
          <w:rPr>
            <w:color w:val="0000FF"/>
          </w:rPr>
          <w:t>262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Шкала HCM Risk-SCD рекомендуется в качестве метода оценки риска внезапной смерти в течение 5 лет для пациентов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16 лет без случаев реанимации после эпизодов ЖТ/ФЖ или спонтанной устойчивой ЖТ с потерей сознания или гемодинамическими нарушениями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8">
        <w:r>
          <w:rPr>
            <w:color w:val="0000FF"/>
          </w:rPr>
          <w:t>114</w:t>
        </w:r>
      </w:hyperlink>
      <w:r>
        <w:t xml:space="preserve">, </w:t>
      </w:r>
      <w:hyperlink w:anchor="P1149">
        <w:r>
          <w:rPr>
            <w:color w:val="0000FF"/>
          </w:rPr>
          <w:t>115</w:t>
        </w:r>
      </w:hyperlink>
      <w:r>
        <w:t xml:space="preserve">, </w:t>
      </w:r>
      <w:hyperlink w:anchor="P1151">
        <w:r>
          <w:rPr>
            <w:color w:val="0000FF"/>
          </w:rPr>
          <w:t>117</w:t>
        </w:r>
      </w:hyperlink>
      <w:r>
        <w:t xml:space="preserve">, </w:t>
      </w:r>
      <w:hyperlink w:anchor="P1213">
        <w:r>
          <w:rPr>
            <w:color w:val="0000FF"/>
          </w:rPr>
          <w:t>179</w:t>
        </w:r>
      </w:hyperlink>
      <w:r>
        <w:t xml:space="preserve">, </w:t>
      </w:r>
      <w:hyperlink w:anchor="P1214">
        <w:r>
          <w:rPr>
            <w:color w:val="0000FF"/>
          </w:rPr>
          <w:t>180</w:t>
        </w:r>
      </w:hyperlink>
      <w:r>
        <w:t xml:space="preserve">, </w:t>
      </w:r>
      <w:hyperlink w:anchor="P1232">
        <w:r>
          <w:rPr>
            <w:color w:val="0000FF"/>
          </w:rPr>
          <w:t>198</w:t>
        </w:r>
      </w:hyperlink>
      <w:r>
        <w:t xml:space="preserve">, </w:t>
      </w:r>
      <w:hyperlink w:anchor="P1233">
        <w:r>
          <w:rPr>
            <w:color w:val="0000FF"/>
          </w:rPr>
          <w:t>199</w:t>
        </w:r>
      </w:hyperlink>
      <w:r>
        <w:t xml:space="preserve">, </w:t>
      </w:r>
      <w:hyperlink w:anchor="P1295">
        <w:r>
          <w:rPr>
            <w:color w:val="0000FF"/>
          </w:rPr>
          <w:t>261</w:t>
        </w:r>
      </w:hyperlink>
      <w:r>
        <w:t xml:space="preserve">, </w:t>
      </w:r>
      <w:hyperlink w:anchor="P1296">
        <w:r>
          <w:rPr>
            <w:color w:val="0000FF"/>
          </w:rPr>
          <w:t>262</w:t>
        </w:r>
      </w:hyperlink>
      <w:r>
        <w:t xml:space="preserve">, </w:t>
      </w:r>
      <w:hyperlink w:anchor="P1305">
        <w:r>
          <w:rPr>
            <w:color w:val="0000FF"/>
          </w:rPr>
          <w:t>271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3 УУР </w:t>
      </w:r>
      <w:hyperlink w:anchor="P1559">
        <w:r>
          <w:rPr>
            <w:color w:val="0000FF"/>
          </w:rPr>
          <w:t>B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регистрация жизнеугрожающих ЖНР и брадиаритмий осуществляется с помощью поверхностной ЭКГ в покое, при ХМЭКГ, с помощью наружного или имплантируемого записывающего устройства, также - при нагрузочной пробе </w:t>
      </w:r>
      <w:hyperlink w:anchor="P1213">
        <w:r>
          <w:rPr>
            <w:color w:val="0000FF"/>
          </w:rPr>
          <w:t>[179]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Независимо от нозологии, подавляющее большинство опасных для жизни желудочковых нарушений сердечного ритма (83,4%) обусловлено электрической нестабильностью миокарда. </w:t>
      </w:r>
      <w:r>
        <w:lastRenderedPageBreak/>
        <w:t>ВСС чаще обусловлена ФЖ (62,4%), брадиаритмиями (16,5%), ЖТ типа "Torsades de pointes" (12,7%) и ЖТ (8,3%).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ЖТ неустойчивая (ЖТ, состоящая как минимум из 3 желудочковых комплексов, с частотой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120 и продолжительностью не более 30 сек., которая прекращается самостоятельно). ЖТ может быть мономорфной (неизмененная морфология комплекса QRS в 12 отведениях) и полиморфной (во время ЖТ в 12 отведениях ЭКГ изменяется конфигурация комплекса QRS);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ЖТ устойчивая (мономорфная, полиморфная) - ЖТ продолжительностью более 30 сек., зачастую не купирующаяся самостоятельно;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Фибрилляция желудочков - нерегулярный желудочковый ритм (обычно с частотой более 300 ударов в минуту) с выраженной вариабельностью длины цикла, морфологии и амплитуды комплексов QRS.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Существует две модели стратификации риска ВСС: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На основе традиционных факторов риска (американская модель).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На основе расчета индивидуальных оценок риска, персонифицированный подход (европейская модель) - шкала HCM Risk-SCD.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Шкала оценки риска ВСС у пациентов с ГКМП (европейская модель) представлена в </w:t>
      </w:r>
      <w:hyperlink w:anchor="P2502">
        <w:r>
          <w:rPr>
            <w:color w:val="0000FF"/>
          </w:rPr>
          <w:t>таблице П2</w:t>
        </w:r>
      </w:hyperlink>
      <w:r>
        <w:t>, приложение Г3.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"Калькулятор" риска ВСС при ГКМП по европейской модели представлен на сайте http://doc2do.com/hcm/webHCM.html).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Шкала оценки риска ВСС у пациентов с ГКМП (американская модель) представлена в </w:t>
      </w:r>
      <w:hyperlink w:anchor="P2294">
        <w:r>
          <w:rPr>
            <w:color w:val="0000FF"/>
          </w:rPr>
          <w:t>таблице П3</w:t>
        </w:r>
      </w:hyperlink>
      <w:r>
        <w:t>, приложение Г2.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Европейская модель прогнозирования риска ВСС HCM Risk-SCD имеет ограничения: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не применяется у пациентов старше 80 лет и моложе 16 лет;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не применяется у пациентов с фенокопиями ГКМП, ГЛЖ у спортсменов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Проведена модификация формулы расчета с использованием такого фактора как максимальная толщина стенки ЛЖ (в HCM Risk-SCD Calculator - рекомендовано указывать не более 35 мм) (продолжается апробация новой модели) </w:t>
      </w:r>
      <w:hyperlink w:anchor="P1215">
        <w:r>
          <w:rPr>
            <w:color w:val="0000FF"/>
          </w:rPr>
          <w:t>[181]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Алгоритм первичной и вторичной профилактики ВСС у пациентов с ГКМП представлен в </w:t>
      </w:r>
      <w:hyperlink w:anchor="P1739">
        <w:r>
          <w:rPr>
            <w:color w:val="0000FF"/>
          </w:rPr>
          <w:t>Приложении Б7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3. Лечение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ind w:firstLine="540"/>
        <w:jc w:val="both"/>
      </w:pPr>
      <w:r>
        <w:t>Лечение ГКМП включает медикаментозную терапию, эндоваскулярные вмешательства, хирургические и нехирургические методы редукции гипертрофированной МЖП, механическую поддержку кровообращения, трансплантацию сердца.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Рекомендации по лечению ГКМП основаны на данных об эффективности и безопасности применяемых фармакологических средств, полученных в основном в наблюдательных исследованиях. Рандомизированные клинические исследования малочисленны и включают малое количество пациентов [</w:t>
      </w:r>
      <w:hyperlink w:anchor="P1123">
        <w:r>
          <w:rPr>
            <w:color w:val="0000FF"/>
          </w:rPr>
          <w:t>89</w:t>
        </w:r>
      </w:hyperlink>
      <w:r>
        <w:t xml:space="preserve">, </w:t>
      </w:r>
      <w:hyperlink w:anchor="P1188">
        <w:r>
          <w:rPr>
            <w:color w:val="0000FF"/>
          </w:rPr>
          <w:t>154</w:t>
        </w:r>
      </w:hyperlink>
      <w:r>
        <w:t xml:space="preserve">, </w:t>
      </w:r>
      <w:hyperlink w:anchor="P1171">
        <w:r>
          <w:rPr>
            <w:color w:val="0000FF"/>
          </w:rPr>
          <w:t>137</w:t>
        </w:r>
      </w:hyperlink>
      <w:r>
        <w:t xml:space="preserve">, </w:t>
      </w:r>
      <w:hyperlink w:anchor="P1335">
        <w:r>
          <w:rPr>
            <w:color w:val="0000FF"/>
          </w:rPr>
          <w:t>301</w:t>
        </w:r>
      </w:hyperlink>
      <w:r>
        <w:t xml:space="preserve"> - </w:t>
      </w:r>
      <w:hyperlink w:anchor="P1344">
        <w:r>
          <w:rPr>
            <w:color w:val="0000FF"/>
          </w:rPr>
          <w:t>310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Фармакотерапия при ГКМП в основном улучшает симптоматику и предупреждает осложнения (антикоагулянтная терапия при ФП, кордарон-фармакологическая кардиоверсия и </w:t>
      </w:r>
      <w:r>
        <w:lastRenderedPageBreak/>
        <w:t>профилактика рецидивов ФП, лечение желудочковых нарушений сердечного ритма и др.) [</w:t>
      </w:r>
      <w:hyperlink w:anchor="P1163">
        <w:r>
          <w:rPr>
            <w:color w:val="0000FF"/>
          </w:rPr>
          <w:t>129</w:t>
        </w:r>
      </w:hyperlink>
      <w:r>
        <w:t xml:space="preserve">, </w:t>
      </w:r>
      <w:hyperlink w:anchor="P1345">
        <w:r>
          <w:rPr>
            <w:color w:val="0000FF"/>
          </w:rPr>
          <w:t>311</w:t>
        </w:r>
      </w:hyperlink>
      <w:r>
        <w:t xml:space="preserve"> - </w:t>
      </w:r>
      <w:hyperlink w:anchor="P1348">
        <w:r>
          <w:rPr>
            <w:color w:val="0000FF"/>
          </w:rPr>
          <w:t>314</w:t>
        </w:r>
      </w:hyperlink>
      <w:r>
        <w:t>]. Единственные вмешательства при ГКМП, которые, как полагают, влияют на долгосрочный прогноз, представляют собой хирургическую миоэктомию и имплантацию кардиовертера-дефибриллятора*** (ИКД***) [</w:t>
      </w:r>
      <w:hyperlink w:anchor="P1188">
        <w:r>
          <w:rPr>
            <w:color w:val="0000FF"/>
          </w:rPr>
          <w:t>154</w:t>
        </w:r>
      </w:hyperlink>
      <w:r>
        <w:t xml:space="preserve">, </w:t>
      </w:r>
      <w:hyperlink w:anchor="P1215">
        <w:r>
          <w:rPr>
            <w:color w:val="0000FF"/>
          </w:rPr>
          <w:t>181</w:t>
        </w:r>
      </w:hyperlink>
      <w:r>
        <w:t xml:space="preserve">, </w:t>
      </w:r>
      <w:hyperlink w:anchor="P1334">
        <w:r>
          <w:rPr>
            <w:color w:val="0000FF"/>
          </w:rPr>
          <w:t>300</w:t>
        </w:r>
      </w:hyperlink>
      <w:r>
        <w:t xml:space="preserve">, </w:t>
      </w:r>
      <w:hyperlink w:anchor="P1349">
        <w:r>
          <w:rPr>
            <w:color w:val="0000FF"/>
          </w:rPr>
          <w:t>315</w:t>
        </w:r>
      </w:hyperlink>
      <w:r>
        <w:t xml:space="preserve"> - </w:t>
      </w:r>
      <w:hyperlink w:anchor="P1357">
        <w:r>
          <w:rPr>
            <w:color w:val="0000FF"/>
          </w:rPr>
          <w:t>323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Сопутствующие заболевания (артериальная гипертензия, сахарный диабет, дислипидемия и др.) рекомендовано лечить в соответствии с существующими национальными клиническими рекомендациями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189">
        <w:r>
          <w:rPr>
            <w:color w:val="0000FF"/>
          </w:rPr>
          <w:t>155</w:t>
        </w:r>
      </w:hyperlink>
      <w:r>
        <w:t xml:space="preserve">, </w:t>
      </w:r>
      <w:hyperlink w:anchor="P1358">
        <w:r>
          <w:rPr>
            <w:color w:val="0000FF"/>
          </w:rPr>
          <w:t>324</w:t>
        </w:r>
      </w:hyperlink>
      <w:r>
        <w:t xml:space="preserve"> - </w:t>
      </w:r>
      <w:hyperlink w:anchor="P1361">
        <w:r>
          <w:rPr>
            <w:color w:val="0000FF"/>
          </w:rPr>
          <w:t>327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Подходы к медикаментозной терапии на догипертрофической стадии гипертрофической кардиомиопатии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Разрабатываются подходы к фармакотерапии носителей мутации, ассоциированной с ГКМП, на догипертрофической стадии. Клинические исследования и используемые препараты на догипертрофической стадии ГКМП представлены в </w:t>
      </w:r>
      <w:hyperlink w:anchor="P1642">
        <w:r>
          <w:rPr>
            <w:color w:val="0000FF"/>
          </w:rPr>
          <w:t>таблице 5</w:t>
        </w:r>
      </w:hyperlink>
      <w:r>
        <w:t xml:space="preserve">, приложение А3 </w:t>
      </w:r>
      <w:hyperlink w:anchor="P1362">
        <w:r>
          <w:rPr>
            <w:color w:val="0000FF"/>
          </w:rPr>
          <w:t>[328]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3.1 Медикаментозная терапия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Подходы к медикаментозной терапии на гипертрофической стадии гипертрофической кардиомиопатии у бессимптомных пациентов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Не рекомендуется назначение бета-адреноблокаторов и блокаторов "медленных" кальциевых каналов (верапамил**) пациентам с бессимптомным течением ГКМП, так как их полезное действие не доказано.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Рекомендовано рассмотреть возможность назначения бета-адреноблокаторов или верапамила** асимптомным взрослым с обструкцией ВТЛЖ (покоя или индуцируемой) для снижения ГД в ЛЖ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64">
        <w:r>
          <w:rPr>
            <w:color w:val="0000FF"/>
          </w:rPr>
          <w:t>330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Симптомный или бессимптомный пациент, решает врач после детального обследования.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Должен быть решен вопрос об отличии истинного отсутствия симптомов от адаптации за счет образа жизни, путем проведения теста с физической нагрузкой и оценки биомаркеров ХСН в динамике.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3. В рамках ведения здорового образа жизни целесообразно проведение аэробных упражнений низкой интенсивности.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4. Необходима ежегодная переоценка риска ВСС, включающая ЭКГ, ХМЭКГ, ЭХОКГ.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5. Алгоритм тактики ведения асимптомных пациентов с ГКМП представлен в </w:t>
      </w:r>
      <w:hyperlink w:anchor="P1675">
        <w:r>
          <w:rPr>
            <w:color w:val="0000FF"/>
          </w:rPr>
          <w:t>Приложении Б1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ind w:firstLine="540"/>
        <w:jc w:val="both"/>
      </w:pPr>
      <w:r>
        <w:t>Медикаментозная терапия симптомных пациентов с гипертрофической кардиомиопатией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Общие принципы медикаментозной терапии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Лечение пациентов с обструктивной и необструктивной формами заболевания имеет существенные различия.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2. Лечение должно быть адаптировано к уникальным характеристикам каждого отдельного пациента.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3. Лекарственные препараты, традиционно применяемые в терапии ГКМП, являются средствами с отрицательным инотропным действием и направлены на купирование или облегчение симптомов заболевания.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4. Правожелудочковая ОГКМП и 2-желудочковая ОГКМП лечатся по тем же принципам, как и при обструкции ВТЛЖ.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Медикаментозная терапия обструкции выходного тракта левого желудочка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Лечение любыми лекарственными средствами рекомендуется начинать с минимальных доз и с осторожным их титрованием в течение достаточно долгого времени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45">
        <w:r>
          <w:rPr>
            <w:color w:val="0000FF"/>
          </w:rPr>
          <w:t>11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073">
        <w:r>
          <w:rPr>
            <w:color w:val="0000FF"/>
          </w:rPr>
          <w:t>39</w:t>
        </w:r>
      </w:hyperlink>
      <w:r>
        <w:t xml:space="preserve">, </w:t>
      </w:r>
      <w:hyperlink w:anchor="P1184">
        <w:r>
          <w:rPr>
            <w:color w:val="0000FF"/>
          </w:rPr>
          <w:t>150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242">
        <w:r>
          <w:rPr>
            <w:color w:val="0000FF"/>
          </w:rPr>
          <w:t>208</w:t>
        </w:r>
      </w:hyperlink>
      <w:r>
        <w:t xml:space="preserve">, </w:t>
      </w:r>
      <w:hyperlink w:anchor="P1300">
        <w:r>
          <w:rPr>
            <w:color w:val="0000FF"/>
          </w:rPr>
          <w:t>266</w:t>
        </w:r>
      </w:hyperlink>
      <w:r>
        <w:t xml:space="preserve">, </w:t>
      </w:r>
      <w:hyperlink w:anchor="P1335">
        <w:r>
          <w:rPr>
            <w:color w:val="0000FF"/>
          </w:rPr>
          <w:t>301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65">
        <w:r>
          <w:rPr>
            <w:color w:val="0000FF"/>
          </w:rPr>
          <w:t>331</w:t>
        </w:r>
      </w:hyperlink>
      <w:r>
        <w:t xml:space="preserve"> - </w:t>
      </w:r>
      <w:hyperlink w:anchor="P1369">
        <w:r>
          <w:rPr>
            <w:color w:val="0000FF"/>
          </w:rPr>
          <w:t>335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Упрощенный алгоритм диагностики и подходов к лечению обструктивных форм ГКМП представлен в </w:t>
      </w:r>
      <w:hyperlink w:anchor="P1685">
        <w:r>
          <w:rPr>
            <w:color w:val="0000FF"/>
          </w:rPr>
          <w:t>Приложении Б2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Алгоритм фармакотерапии обструктивной ГКМП представлен в </w:t>
      </w:r>
      <w:hyperlink w:anchor="P1697">
        <w:r>
          <w:rPr>
            <w:color w:val="0000FF"/>
          </w:rPr>
          <w:t>Приложении Б3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Бета-адреноблокаторы с подбором максимальной переносимой дозы рекомендуются в качестве первой линии терапии для уменьшения симптомов у пациентов с обструкцией ВТЛЖ (покоя и индуцируемой)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45">
        <w:r>
          <w:rPr>
            <w:color w:val="0000FF"/>
          </w:rPr>
          <w:t>11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073">
        <w:r>
          <w:rPr>
            <w:color w:val="0000FF"/>
          </w:rPr>
          <w:t>39</w:t>
        </w:r>
      </w:hyperlink>
      <w:r>
        <w:t xml:space="preserve">, </w:t>
      </w:r>
      <w:hyperlink w:anchor="P1074">
        <w:r>
          <w:rPr>
            <w:color w:val="0000FF"/>
          </w:rPr>
          <w:t>40</w:t>
        </w:r>
      </w:hyperlink>
      <w:r>
        <w:t xml:space="preserve">, </w:t>
      </w:r>
      <w:hyperlink w:anchor="P1184">
        <w:r>
          <w:rPr>
            <w:color w:val="0000FF"/>
          </w:rPr>
          <w:t>150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300">
        <w:r>
          <w:rPr>
            <w:color w:val="0000FF"/>
          </w:rPr>
          <w:t>266</w:t>
        </w:r>
      </w:hyperlink>
      <w:r>
        <w:t xml:space="preserve">, </w:t>
      </w:r>
      <w:hyperlink w:anchor="P1335">
        <w:r>
          <w:rPr>
            <w:color w:val="0000FF"/>
          </w:rPr>
          <w:t>301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65">
        <w:r>
          <w:rPr>
            <w:color w:val="0000FF"/>
          </w:rPr>
          <w:t>331</w:t>
        </w:r>
      </w:hyperlink>
      <w:r>
        <w:t xml:space="preserve">, </w:t>
      </w:r>
      <w:hyperlink w:anchor="P1367">
        <w:r>
          <w:rPr>
            <w:color w:val="0000FF"/>
          </w:rPr>
          <w:t>333</w:t>
        </w:r>
      </w:hyperlink>
      <w:r>
        <w:t xml:space="preserve">, </w:t>
      </w:r>
      <w:hyperlink w:anchor="P1369">
        <w:r>
          <w:rPr>
            <w:color w:val="0000FF"/>
          </w:rPr>
          <w:t>335</w:t>
        </w:r>
      </w:hyperlink>
      <w:r>
        <w:t xml:space="preserve">, </w:t>
      </w:r>
      <w:hyperlink w:anchor="P1370">
        <w:r>
          <w:rPr>
            <w:color w:val="0000FF"/>
          </w:rPr>
          <w:t>336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2 УУР </w:t>
      </w:r>
      <w:hyperlink w:anchor="P1557">
        <w:r>
          <w:rPr>
            <w:color w:val="0000FF"/>
          </w:rPr>
          <w:t>A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правила и особенности назначения бета-адреноблокаторов представлены в </w:t>
      </w:r>
      <w:hyperlink w:anchor="P1581">
        <w:r>
          <w:rPr>
            <w:color w:val="0000FF"/>
          </w:rPr>
          <w:t>таблице 1</w:t>
        </w:r>
      </w:hyperlink>
      <w:r>
        <w:t>, Приложение А3.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Верапамил** с подбором максимальной переносимой дозы рекомендуется тем пациентам с обструкцией ВТЛЖ (покоя или индуцируемой), которые не переносят бета-адреноблокаторы или имеют противопоказания к их назначению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45">
        <w:r>
          <w:rPr>
            <w:color w:val="0000FF"/>
          </w:rPr>
          <w:t>11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073">
        <w:r>
          <w:rPr>
            <w:color w:val="0000FF"/>
          </w:rPr>
          <w:t>39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335">
        <w:r>
          <w:rPr>
            <w:color w:val="0000FF"/>
          </w:rPr>
          <w:t>301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66">
        <w:r>
          <w:rPr>
            <w:color w:val="0000FF"/>
          </w:rPr>
          <w:t>332</w:t>
        </w:r>
      </w:hyperlink>
      <w:r>
        <w:t xml:space="preserve">, </w:t>
      </w:r>
      <w:hyperlink w:anchor="P1369">
        <w:r>
          <w:rPr>
            <w:color w:val="0000FF"/>
          </w:rPr>
          <w:t>335</w:t>
        </w:r>
      </w:hyperlink>
      <w:r>
        <w:t xml:space="preserve">, </w:t>
      </w:r>
      <w:hyperlink w:anchor="P1371">
        <w:r>
          <w:rPr>
            <w:color w:val="0000FF"/>
          </w:rPr>
          <w:t>337</w:t>
        </w:r>
      </w:hyperlink>
      <w:r>
        <w:t xml:space="preserve"> - </w:t>
      </w:r>
      <w:hyperlink w:anchor="P1375">
        <w:r>
          <w:rPr>
            <w:color w:val="0000FF"/>
          </w:rPr>
          <w:t>341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2 УУР </w:t>
      </w:r>
      <w:hyperlink w:anchor="P1557">
        <w:r>
          <w:rPr>
            <w:color w:val="0000FF"/>
          </w:rPr>
          <w:t>A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правила и особенности назначения верапамила** представлены в </w:t>
      </w:r>
      <w:hyperlink w:anchor="P1589">
        <w:r>
          <w:rPr>
            <w:color w:val="0000FF"/>
          </w:rPr>
          <w:t>Таблице 2</w:t>
        </w:r>
      </w:hyperlink>
      <w:r>
        <w:t>, Приложение А3.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Дилтиазем с подбором максимальной переносимой дозы рекомендован симптомным пациентам с обструкцией ВТЛЖ (покоя или индуцируемой), которые не переносят бета-адреноблокаторы и верапамил** или имеют противопоказания к их назначению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073">
        <w:r>
          <w:rPr>
            <w:color w:val="0000FF"/>
          </w:rPr>
          <w:t>39</w:t>
        </w:r>
      </w:hyperlink>
      <w:r>
        <w:t xml:space="preserve">, </w:t>
      </w:r>
      <w:hyperlink w:anchor="P1184">
        <w:r>
          <w:rPr>
            <w:color w:val="0000FF"/>
          </w:rPr>
          <w:t>150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335">
        <w:r>
          <w:rPr>
            <w:color w:val="0000FF"/>
          </w:rPr>
          <w:t>301</w:t>
        </w:r>
      </w:hyperlink>
      <w:r>
        <w:t xml:space="preserve">, </w:t>
      </w:r>
      <w:hyperlink w:anchor="P1336">
        <w:r>
          <w:rPr>
            <w:color w:val="0000FF"/>
          </w:rPr>
          <w:t>302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66">
        <w:r>
          <w:rPr>
            <w:color w:val="0000FF"/>
          </w:rPr>
          <w:t>332</w:t>
        </w:r>
      </w:hyperlink>
      <w:r>
        <w:t xml:space="preserve">, </w:t>
      </w:r>
      <w:hyperlink w:anchor="P1369">
        <w:r>
          <w:rPr>
            <w:color w:val="0000FF"/>
          </w:rPr>
          <w:t>335</w:t>
        </w:r>
      </w:hyperlink>
      <w:r>
        <w:t xml:space="preserve">, </w:t>
      </w:r>
      <w:hyperlink w:anchor="P1376">
        <w:r>
          <w:rPr>
            <w:color w:val="0000FF"/>
          </w:rPr>
          <w:t>342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IIC (УДД 2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рекомендуемые начальные и целевые дозы при медикаментозной терапии ГКМП представлены в </w:t>
      </w:r>
      <w:hyperlink w:anchor="P1597">
        <w:r>
          <w:rPr>
            <w:color w:val="0000FF"/>
          </w:rPr>
          <w:t>Таблице 3</w:t>
        </w:r>
      </w:hyperlink>
      <w:r>
        <w:t>, Приложение А3.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Пациенты с ГКМП и среднежелудочковой обструкцией ЛЖ должны получать высокие дозы бета-адреноблокаторов (бисопролол**), верапамила** или дилтиазема*, но ответ на лечение часто неоптимальный. Эта когорта пациентов, как правило, имеет симптомный вариант, характеризующийся повышенным риском прогрессирующей ХСН и ВСС. У 25% из них развивается </w:t>
      </w:r>
      <w:r>
        <w:lastRenderedPageBreak/>
        <w:t>аневризма верхушки ЛЖ [</w:t>
      </w:r>
      <w:hyperlink w:anchor="P1105">
        <w:r>
          <w:rPr>
            <w:color w:val="0000FF"/>
          </w:rPr>
          <w:t>71</w:t>
        </w:r>
      </w:hyperlink>
      <w:r>
        <w:t xml:space="preserve"> - </w:t>
      </w:r>
      <w:hyperlink w:anchor="P1107">
        <w:r>
          <w:rPr>
            <w:color w:val="0000FF"/>
          </w:rPr>
          <w:t>73</w:t>
        </w:r>
      </w:hyperlink>
      <w:r>
        <w:t xml:space="preserve">, </w:t>
      </w:r>
      <w:hyperlink w:anchor="P1249">
        <w:r>
          <w:rPr>
            <w:color w:val="0000FF"/>
          </w:rPr>
          <w:t>215</w:t>
        </w:r>
      </w:hyperlink>
      <w:r>
        <w:t xml:space="preserve">, </w:t>
      </w:r>
      <w:hyperlink w:anchor="P1328">
        <w:r>
          <w:rPr>
            <w:color w:val="0000FF"/>
          </w:rPr>
          <w:t>294</w:t>
        </w:r>
      </w:hyperlink>
      <w:r>
        <w:t xml:space="preserve">, </w:t>
      </w:r>
      <w:hyperlink w:anchor="P1377">
        <w:r>
          <w:rPr>
            <w:color w:val="0000FF"/>
          </w:rPr>
          <w:t>343</w:t>
        </w:r>
      </w:hyperlink>
      <w:r>
        <w:t xml:space="preserve">, </w:t>
      </w:r>
      <w:hyperlink w:anchor="P1378">
        <w:r>
          <w:rPr>
            <w:color w:val="0000FF"/>
          </w:rPr>
          <w:t>344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 xml:space="preserve">Лечение ХСН с ФВ ЛЖ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50% у пациентов с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Бета-адреноблокаторы, верапамил** рекомендованы для улучшения симптомов сердечной недостаточности у пациентов с обструктивной ГКМП и ХСН II - IV ФК (NYHA) с ФВ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50%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45">
        <w:r>
          <w:rPr>
            <w:color w:val="0000FF"/>
          </w:rPr>
          <w:t>11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073">
        <w:r>
          <w:rPr>
            <w:color w:val="0000FF"/>
          </w:rPr>
          <w:t>39</w:t>
        </w:r>
      </w:hyperlink>
      <w:r>
        <w:t xml:space="preserve">, </w:t>
      </w:r>
      <w:hyperlink w:anchor="P1135">
        <w:r>
          <w:rPr>
            <w:color w:val="0000FF"/>
          </w:rPr>
          <w:t>101</w:t>
        </w:r>
      </w:hyperlink>
      <w:r>
        <w:t xml:space="preserve">, </w:t>
      </w:r>
      <w:hyperlink w:anchor="P1166">
        <w:r>
          <w:rPr>
            <w:color w:val="0000FF"/>
          </w:rPr>
          <w:t>132</w:t>
        </w:r>
      </w:hyperlink>
      <w:r>
        <w:t xml:space="preserve">, </w:t>
      </w:r>
      <w:hyperlink w:anchor="P1184">
        <w:r>
          <w:rPr>
            <w:color w:val="0000FF"/>
          </w:rPr>
          <w:t>150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232">
        <w:r>
          <w:rPr>
            <w:color w:val="0000FF"/>
          </w:rPr>
          <w:t>198</w:t>
        </w:r>
      </w:hyperlink>
      <w:r>
        <w:t xml:space="preserve">, </w:t>
      </w:r>
      <w:hyperlink w:anchor="P1336">
        <w:r>
          <w:rPr>
            <w:color w:val="0000FF"/>
          </w:rPr>
          <w:t>302</w:t>
        </w:r>
      </w:hyperlink>
      <w:r>
        <w:t xml:space="preserve">, </w:t>
      </w:r>
      <w:hyperlink w:anchor="P1359">
        <w:r>
          <w:rPr>
            <w:color w:val="0000FF"/>
          </w:rPr>
          <w:t>325</w:t>
        </w:r>
      </w:hyperlink>
      <w:r>
        <w:t xml:space="preserve">, </w:t>
      </w:r>
      <w:hyperlink w:anchor="P1360">
        <w:r>
          <w:rPr>
            <w:color w:val="0000FF"/>
          </w:rPr>
          <w:t>326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74">
        <w:r>
          <w:rPr>
            <w:color w:val="0000FF"/>
          </w:rPr>
          <w:t>340</w:t>
        </w:r>
      </w:hyperlink>
      <w:r>
        <w:t xml:space="preserve">, </w:t>
      </w:r>
      <w:hyperlink w:anchor="P1375">
        <w:r>
          <w:rPr>
            <w:color w:val="0000FF"/>
          </w:rPr>
          <w:t>341</w:t>
        </w:r>
      </w:hyperlink>
      <w:r>
        <w:t xml:space="preserve">, </w:t>
      </w:r>
      <w:hyperlink w:anchor="P1379">
        <w:r>
          <w:rPr>
            <w:color w:val="0000FF"/>
          </w:rPr>
          <w:t>345</w:t>
        </w:r>
      </w:hyperlink>
      <w:r>
        <w:t xml:space="preserve">, </w:t>
      </w:r>
      <w:hyperlink w:anchor="P1380">
        <w:r>
          <w:rPr>
            <w:color w:val="0000FF"/>
          </w:rPr>
          <w:t>346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3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Малые дозы петлевых и тиазидных диуретиков рекомендованы для пациентов с необструктивной ГКМП и II - IV ФК (NYHA) с ФВ ЛЖ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50% для улучшения симптомов ХСН [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166">
        <w:r>
          <w:rPr>
            <w:color w:val="0000FF"/>
          </w:rPr>
          <w:t>132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232">
        <w:r>
          <w:rPr>
            <w:color w:val="0000FF"/>
          </w:rPr>
          <w:t>198</w:t>
        </w:r>
      </w:hyperlink>
      <w:r>
        <w:t xml:space="preserve">, </w:t>
      </w:r>
      <w:hyperlink w:anchor="P1359">
        <w:r>
          <w:rPr>
            <w:color w:val="0000FF"/>
          </w:rPr>
          <w:t>325</w:t>
        </w:r>
      </w:hyperlink>
      <w:r>
        <w:t xml:space="preserve">, </w:t>
      </w:r>
      <w:hyperlink w:anchor="P1360">
        <w:r>
          <w:rPr>
            <w:color w:val="0000FF"/>
          </w:rPr>
          <w:t>326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79">
        <w:r>
          <w:rPr>
            <w:color w:val="0000FF"/>
          </w:rPr>
          <w:t>345</w:t>
        </w:r>
      </w:hyperlink>
      <w:r>
        <w:t xml:space="preserve"> - </w:t>
      </w:r>
      <w:hyperlink w:anchor="P1381">
        <w:r>
          <w:rPr>
            <w:color w:val="0000FF"/>
          </w:rPr>
          <w:t>347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Рекомендовано рассмотреть возможность назначения (с осторожностью) низких доз петлевых или тиазидных диуретиков симптомным пациентам с обструкцией ВТЛЖ для уменьшения одышки при нагрузке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085">
        <w:r>
          <w:rPr>
            <w:color w:val="0000FF"/>
          </w:rPr>
          <w:t>51</w:t>
        </w:r>
      </w:hyperlink>
      <w:r>
        <w:t xml:space="preserve">, </w:t>
      </w:r>
      <w:hyperlink w:anchor="P1166">
        <w:r>
          <w:rPr>
            <w:color w:val="0000FF"/>
          </w:rPr>
          <w:t>132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232">
        <w:r>
          <w:rPr>
            <w:color w:val="0000FF"/>
          </w:rPr>
          <w:t>198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алгоритм врачебной тактики лечения ХСН при ГКМП представлен в </w:t>
      </w:r>
      <w:hyperlink w:anchor="P1707">
        <w:r>
          <w:rPr>
            <w:color w:val="0000FF"/>
          </w:rPr>
          <w:t>Приложении Б4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Подключение низких доз петлевых или тиазидных диуретиков следует осуществлять под контролем ЧСС и ГД, так как уменьшение объема циркулирующей крови у пациентов с ОГКМП может приводить к увеличению ГД в ВТЛЖ.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При гипотензии и отеке легких, которые обусловлены тяжелой индуцируемой обструкцией ВТЛЖ, рекомендованы бета-адреноблокаторы (per os или внутривенно) и добутамин**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382">
        <w:r>
          <w:rPr>
            <w:color w:val="0000FF"/>
          </w:rPr>
          <w:t>348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в случае развития отека легких при низком АД у пациента ОГКМП с высоким ГД в ВТЛЖ необходимо исключить ОКС, так как использование в этой ситуации органических нитратов и препаратов с положительным инотропным эффектом является опасным для жизни.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 и обструкцией ВТЛЖ (покоя или индуцируемой) не рекомендуется применение органических нитратов и ингибиторов фосфодиэстеразы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382">
        <w:r>
          <w:rPr>
            <w:color w:val="0000FF"/>
          </w:rPr>
          <w:t>348</w:t>
        </w:r>
      </w:hyperlink>
      <w:r>
        <w:t xml:space="preserve">, </w:t>
      </w:r>
      <w:hyperlink w:anchor="P1383">
        <w:r>
          <w:rPr>
            <w:color w:val="0000FF"/>
          </w:rPr>
          <w:t>349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IIIC (УДД 5 УУР </w:t>
      </w:r>
      <w:hyperlink w:anchor="P1561">
        <w:r>
          <w:rPr>
            <w:color w:val="0000FF"/>
          </w:rPr>
          <w:t>C</w:t>
        </w:r>
      </w:hyperlink>
      <w:r>
        <w:t>))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 и обструкцией ВТЛЖ (покоя или индуцируемой) не рекомендуется применение блокаторов "медленных" кальциевых каналов производных дигидропиридинов (нифедипин**).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основной нежелательный механизм действия органических нитратов и ингибиторов фосфодиэстеразы обусловлен увеличением обструкции ВТЛЖ.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 и обструкцией ВТЛЖ (покоя и индуцируемой) не рекомендуется дигоксин**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- Пациентам с ГКМП и устойчивым синусовым ритмом не рекомендуется применение сердечных гликозидов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положительные инотропные препараты, такие как наперстянка, противопоказаны вследствие положительного инотропного и проаритмогенного эффектов.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Верапамил** не рекомендуется пациентам с обструктивной ГКМП в случаях наличия системной гипотензии и выраженной одышки в покое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84">
        <w:r>
          <w:rPr>
            <w:color w:val="0000FF"/>
          </w:rPr>
          <w:t>350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Лечение ХСН с ФВ ЛЖ &lt; 50% у пациентов с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необструктивной ГКМП и ФВ ЛЖ &lt; 50% рекомендуются бета-адреноблокатор в дополнение к АКФ ингибитору (или антагонисту ангиотензина II, если пациент не переносит АКФ ингибиторы) для уменьшения симптомов, снижения риска госпитализаций по поводу ХСН и ВСС (в отсутствие рандомизированных исследований по ГКМП, эффективность по госпитализациям, симптомам и смертности предполагается, но не доказана)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66">
        <w:r>
          <w:rPr>
            <w:color w:val="0000FF"/>
          </w:rPr>
          <w:t>132</w:t>
        </w:r>
      </w:hyperlink>
      <w:r>
        <w:t xml:space="preserve">, </w:t>
      </w:r>
      <w:hyperlink w:anchor="P1167">
        <w:r>
          <w:rPr>
            <w:color w:val="0000FF"/>
          </w:rPr>
          <w:t>133</w:t>
        </w:r>
      </w:hyperlink>
      <w:r>
        <w:t xml:space="preserve">, </w:t>
      </w:r>
      <w:hyperlink w:anchor="P1189">
        <w:r>
          <w:rPr>
            <w:color w:val="0000FF"/>
          </w:rPr>
          <w:t>155</w:t>
        </w:r>
      </w:hyperlink>
      <w:r>
        <w:t xml:space="preserve">, </w:t>
      </w:r>
      <w:hyperlink w:anchor="P1232">
        <w:r>
          <w:rPr>
            <w:color w:val="0000FF"/>
          </w:rPr>
          <w:t>198</w:t>
        </w:r>
      </w:hyperlink>
      <w:r>
        <w:t xml:space="preserve">, </w:t>
      </w:r>
      <w:hyperlink w:anchor="P1359">
        <w:r>
          <w:rPr>
            <w:color w:val="0000FF"/>
          </w:rPr>
          <w:t>325</w:t>
        </w:r>
      </w:hyperlink>
      <w:r>
        <w:t xml:space="preserve">, </w:t>
      </w:r>
      <w:hyperlink w:anchor="P1360">
        <w:r>
          <w:rPr>
            <w:color w:val="0000FF"/>
          </w:rPr>
          <w:t>326</w:t>
        </w:r>
      </w:hyperlink>
      <w:r>
        <w:t xml:space="preserve">, </w:t>
      </w:r>
      <w:hyperlink w:anchor="P1379">
        <w:r>
          <w:rPr>
            <w:color w:val="0000FF"/>
          </w:rPr>
          <w:t>345</w:t>
        </w:r>
      </w:hyperlink>
      <w:r>
        <w:t xml:space="preserve">, </w:t>
      </w:r>
      <w:hyperlink w:anchor="P1380">
        <w:r>
          <w:rPr>
            <w:color w:val="0000FF"/>
          </w:rPr>
          <w:t>346</w:t>
        </w:r>
      </w:hyperlink>
      <w:r>
        <w:t xml:space="preserve">, </w:t>
      </w:r>
      <w:hyperlink w:anchor="P1385">
        <w:r>
          <w:rPr>
            <w:color w:val="0000FF"/>
          </w:rPr>
          <w:t>351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Бета-адреноблокаторы являются препаратами первой линии, применяемыми для снижения ГД в ВТЛЖ и облегчения симптомов. Отрицательные инотропные эффекты бета-адреноблокаторов являются относительно умеренными, поэтому они могут использоваться даже у пациентов с ГКМП и ХСН с ФВ ЛЖ &lt; 50%.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Бета-адреноблокаторы не вызывают резкого изменения ФВ ЛЖ в покое.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Бисопролол** предпочтительней при ГКМП и ХСН с ФВ ЛЖ &lt; 50% </w:t>
      </w:r>
      <w:hyperlink w:anchor="P1363">
        <w:r>
          <w:rPr>
            <w:color w:val="0000FF"/>
          </w:rPr>
          <w:t>[329]</w:t>
        </w:r>
      </w:hyperlink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необструктивной ГКМП и II - IV ФК (NYHA) с ФВ ЛЖ &lt; 50% рекомендуются малые дозы петлевых или тиазидных диуретиков для уменьшения симптомов, снижения риска госпитализаций по поводу ХСН (в отсутствие рандомизированных исследований по ГКМП эффективность по госпитализациям, симптомам и смертности предполагается, но не доказана)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66">
        <w:r>
          <w:rPr>
            <w:color w:val="0000FF"/>
          </w:rPr>
          <w:t>132</w:t>
        </w:r>
      </w:hyperlink>
      <w:r>
        <w:t xml:space="preserve">, </w:t>
      </w:r>
      <w:hyperlink w:anchor="P1167">
        <w:r>
          <w:rPr>
            <w:color w:val="0000FF"/>
          </w:rPr>
          <w:t>133</w:t>
        </w:r>
      </w:hyperlink>
      <w:r>
        <w:t xml:space="preserve">, </w:t>
      </w:r>
      <w:hyperlink w:anchor="P1189">
        <w:r>
          <w:rPr>
            <w:color w:val="0000FF"/>
          </w:rPr>
          <w:t>155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232">
        <w:r>
          <w:rPr>
            <w:color w:val="0000FF"/>
          </w:rPr>
          <w:t>198</w:t>
        </w:r>
      </w:hyperlink>
      <w:r>
        <w:t xml:space="preserve">, </w:t>
      </w:r>
      <w:hyperlink w:anchor="P1359">
        <w:r>
          <w:rPr>
            <w:color w:val="0000FF"/>
          </w:rPr>
          <w:t>325</w:t>
        </w:r>
      </w:hyperlink>
      <w:r>
        <w:t xml:space="preserve">, </w:t>
      </w:r>
      <w:hyperlink w:anchor="P1360">
        <w:r>
          <w:rPr>
            <w:color w:val="0000FF"/>
          </w:rPr>
          <w:t>326</w:t>
        </w:r>
      </w:hyperlink>
      <w:r>
        <w:t xml:space="preserve">, </w:t>
      </w:r>
      <w:hyperlink w:anchor="P1379">
        <w:r>
          <w:rPr>
            <w:color w:val="0000FF"/>
          </w:rPr>
          <w:t>345</w:t>
        </w:r>
      </w:hyperlink>
      <w:r>
        <w:t xml:space="preserve">, </w:t>
      </w:r>
      <w:hyperlink w:anchor="P1380">
        <w:r>
          <w:rPr>
            <w:color w:val="0000FF"/>
          </w:rPr>
          <w:t>346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необструктивной ГКМП с ФВ ЛЖ &lt; 50% и постоянными симптомами ХСН II - IV ФК (NYHA), несмотря на лечение АКФ ингибиторами (или антагонистами ангиотензина II, если пациент не переносит АКФ ингибиторы) и бета-адреноблокаторами, рекомендуются альдостерона антагонисты для снижения риска госпитализаций по поводу ХСН и ВСС (в отсутствие рандомизированных исследований по ГКМП эффективность по госпитализациям, симптомам и смертности предполагается, но не доказана)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66">
        <w:r>
          <w:rPr>
            <w:color w:val="0000FF"/>
          </w:rPr>
          <w:t>132</w:t>
        </w:r>
      </w:hyperlink>
      <w:r>
        <w:t xml:space="preserve">, </w:t>
      </w:r>
      <w:hyperlink w:anchor="P1167">
        <w:r>
          <w:rPr>
            <w:color w:val="0000FF"/>
          </w:rPr>
          <w:t>133</w:t>
        </w:r>
      </w:hyperlink>
      <w:r>
        <w:t xml:space="preserve">, </w:t>
      </w:r>
      <w:hyperlink w:anchor="P1189">
        <w:r>
          <w:rPr>
            <w:color w:val="0000FF"/>
          </w:rPr>
          <w:t>155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232">
        <w:r>
          <w:rPr>
            <w:color w:val="0000FF"/>
          </w:rPr>
          <w:t>198</w:t>
        </w:r>
      </w:hyperlink>
      <w:r>
        <w:t xml:space="preserve">, </w:t>
      </w:r>
      <w:hyperlink w:anchor="P1359">
        <w:r>
          <w:rPr>
            <w:color w:val="0000FF"/>
          </w:rPr>
          <w:t>325</w:t>
        </w:r>
      </w:hyperlink>
      <w:r>
        <w:t xml:space="preserve">, </w:t>
      </w:r>
      <w:hyperlink w:anchor="P1360">
        <w:r>
          <w:rPr>
            <w:color w:val="0000FF"/>
          </w:rPr>
          <w:t>326</w:t>
        </w:r>
      </w:hyperlink>
      <w:r>
        <w:t xml:space="preserve">, </w:t>
      </w:r>
      <w:hyperlink w:anchor="P1379">
        <w:r>
          <w:rPr>
            <w:color w:val="0000FF"/>
          </w:rPr>
          <w:t>345</w:t>
        </w:r>
      </w:hyperlink>
      <w:r>
        <w:t xml:space="preserve">, </w:t>
      </w:r>
      <w:hyperlink w:anchor="P1380">
        <w:r>
          <w:rPr>
            <w:color w:val="0000FF"/>
          </w:rPr>
          <w:t>346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алгоритм врачебной тактики лечения ХСН при ГКМП представлен в </w:t>
      </w:r>
      <w:hyperlink w:anchor="P1707">
        <w:r>
          <w:rPr>
            <w:color w:val="0000FF"/>
          </w:rPr>
          <w:t>Приложении Б4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Тактика лечения пациентов с необструктивной ГКМП с систолической дисфункцией базируется на принципах доказательной фармакотерапии, разработанных для взрослых пациентов с ХСН со сниженной ФВЛЖ, и включает рекомендации по применению бета-</w:t>
      </w:r>
      <w:r>
        <w:lastRenderedPageBreak/>
        <w:t>адреноблокаторов, АКФ ингибиторов, антагонистов ангиотензина II, диуретиков и др. [</w:t>
      </w:r>
      <w:hyperlink w:anchor="P1189">
        <w:r>
          <w:rPr>
            <w:color w:val="0000FF"/>
          </w:rPr>
          <w:t>155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359">
        <w:r>
          <w:rPr>
            <w:color w:val="0000FF"/>
          </w:rPr>
          <w:t>325</w:t>
        </w:r>
      </w:hyperlink>
      <w:r>
        <w:t xml:space="preserve">, </w:t>
      </w:r>
      <w:hyperlink w:anchor="P1360">
        <w:r>
          <w:rPr>
            <w:color w:val="0000FF"/>
          </w:rPr>
          <w:t>326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Данные, полученные Maron M.S. и соавт. (2018) в проспективном рандомизированном двойном слепом исследовании, не подтверждают использование спиронолактона при ГКМП для улучшения ремоделирования ЛЖ путем уменьшения фиброза миокарда или изменения клинического течения </w:t>
      </w:r>
      <w:hyperlink w:anchor="P1341">
        <w:r>
          <w:rPr>
            <w:color w:val="0000FF"/>
          </w:rPr>
          <w:t>[307]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Лечение синдрома стенокардии у пациентов с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Бета-адреноблокаторы, верапамил**, дилтиазем рекомендованы пациентам с необструктивной ГКМП и стенокардитическими болями при отсутствии обструктивной коронарной болезни сердца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08">
        <w:r>
          <w:rPr>
            <w:color w:val="0000FF"/>
          </w:rPr>
          <w:t>74</w:t>
        </w:r>
      </w:hyperlink>
      <w:r>
        <w:t xml:space="preserve">, </w:t>
      </w:r>
      <w:hyperlink w:anchor="P1111">
        <w:r>
          <w:rPr>
            <w:color w:val="0000FF"/>
          </w:rPr>
          <w:t>77</w:t>
        </w:r>
      </w:hyperlink>
      <w:r>
        <w:t xml:space="preserve">, </w:t>
      </w:r>
      <w:hyperlink w:anchor="P1285">
        <w:r>
          <w:rPr>
            <w:color w:val="0000FF"/>
          </w:rPr>
          <w:t>251</w:t>
        </w:r>
      </w:hyperlink>
      <w:r>
        <w:t xml:space="preserve">, </w:t>
      </w:r>
      <w:hyperlink w:anchor="P1326">
        <w:r>
          <w:rPr>
            <w:color w:val="0000FF"/>
          </w:rPr>
          <w:t>292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86">
        <w:r>
          <w:rPr>
            <w:color w:val="0000FF"/>
          </w:rPr>
          <w:t>352</w:t>
        </w:r>
      </w:hyperlink>
      <w:r>
        <w:t xml:space="preserve">, </w:t>
      </w:r>
      <w:hyperlink w:anchor="P1387">
        <w:r>
          <w:rPr>
            <w:color w:val="0000FF"/>
          </w:rPr>
          <w:t>353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правила и особенности назначения верапамила** представлены в </w:t>
      </w:r>
      <w:hyperlink w:anchor="P1589">
        <w:r>
          <w:rPr>
            <w:color w:val="0000FF"/>
          </w:rPr>
          <w:t>таблице 2</w:t>
        </w:r>
      </w:hyperlink>
      <w:r>
        <w:t xml:space="preserve">, Приложение А3 и </w:t>
      </w:r>
      <w:hyperlink w:anchor="P1597">
        <w:r>
          <w:rPr>
            <w:color w:val="0000FF"/>
          </w:rPr>
          <w:t>таблице 3</w:t>
        </w:r>
      </w:hyperlink>
      <w:r>
        <w:t>, Приложение А3.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Пациенты с ГКМП часто предъявляют жалобы на боль в грудной клетке, которая может иметь или не иметь типичные признаки стенокардии. Этот симптом возникает из-за дисбаланса между поставкой и потребностью кислорода, приводит к гипоперфузии и ишемии миокарда, которая вторична по отношению к уменьшению кровотока через малые интрамуральные коронарные артерии (см. раздел "Патогенез").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 этапе появления у пациента приступов стенокардии необходимо уточнить, не появилась ли у него индуцируемая нагрузкой латентная коронарогенная обструкция и/или ишемия миокарда. Рекомендована стресс-ЭХО-КГ для определения показаний к КАГ и реваскуляризации, в том числе при стенозах КА &lt; 50%.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Верапамил** способен уменьшать ишемию миокарда, в т.ч. безболевую, и улучшать его диастолическую функцию 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Ранолазин применяют для лечения стенокардии у пациентов, перенесших острый коронарный синдром (РКИ MERLIN TIMI). Он ингибирует поздний натриевый ток в сердечных миоцитах, что уменьшает перегрузку кальцием в этих клетках, тем самым снижая диастолическое напряжение стенки ЛЖ и потребность миокарда в кислороде.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По данным Gentry J.L. и соавт. (2016), регулярное применение ранолазина в течение 2 месяцев в дозировке 500 - 1000 мг 2 раза в день привело к значительному облегчению стенокардии и симптомов сердечной недостаточности (СН), а также улучшению качества жизни симптомных пациентов с ГКМП </w:t>
      </w:r>
      <w:hyperlink w:anchor="P1338">
        <w:r>
          <w:rPr>
            <w:color w:val="0000FF"/>
          </w:rPr>
          <w:t>[304]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В мультицентровом плацебо-контролируемом исследовании RESTYLE-HCM (Olivotto I., Camici P.G. и соавт., 2018 г.) применение ранолазина в течение 5 месяцев не привело к значимому улучшению переносимости физической нагрузки, показателей диастолической функции, уменьшению уровней МНУП или улучшению качества жизни у пациентов необструктивной ГКМП по сравнению с группой, получавших плацебо. Прием ранолазина достоверно ассоциирован со снижением количества желудочковых экстрасистол по результатам суточного мониторирования ЭКГ. Ранолазин продемонстрировал отличные показатели безопасности </w:t>
      </w:r>
      <w:hyperlink w:anchor="P1343">
        <w:r>
          <w:rPr>
            <w:color w:val="0000FF"/>
          </w:rPr>
          <w:t>[309]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Рекомендовано рассмотреть возможность использования органических нитратов per os у пациентов с необструктивной ГКМП со стенокардитическими болями и отсутствием обструктивной болезни коронарных артерий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Лечение артериальной гипертензии у пациентов с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Лечение АГ у пациентов с необструктивной ГКМП проводится в полном соответствии с Клиническими Рекомендациями по лечению АГ у взрослых.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Особенности медикаментозной терапии АГ при обструктивной ГКМП: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Шаг 1. Прекратить прием периферических вазодилататоров (если пациент ранее разово или курсами принимал вазодилататоры).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Шаг 2. Назначить максимально переносимые дозы бета-адреноблокатора, верапамила или комбинации обоих препаратов под контролем ЧСС и проводить ЭКГ-мониторинг QT/QTc и АВ-проведения). Предпочтительно использовать пролонгированные и селективные бета-адреноблокаторы (бисопролол**, атенолол**).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Шаг 3. На фоне проводимой терапии бета-адреноблокатором (бисопролол** или атенолол**) при условии эффективного контроля ГД в ВТЛЖ с помощью ЭХО-КГ, нарушений ритма и проводимости, продолжительности интервала QT/QTc по ЭКГ и ХМЭКГ и отсутствии появления дополнительной клинической симптоматики рассмотреть возможность осторожно добавить низкую дозу гидрохлортиазида** с триамтереном** под контролем ГД в ВТЛЖ [</w:t>
      </w:r>
      <w:hyperlink w:anchor="P1361">
        <w:r>
          <w:rPr>
            <w:color w:val="0000FF"/>
          </w:rPr>
          <w:t>327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66">
        <w:r>
          <w:rPr>
            <w:color w:val="0000FF"/>
          </w:rPr>
          <w:t>332</w:t>
        </w:r>
      </w:hyperlink>
      <w:r>
        <w:t xml:space="preserve">, </w:t>
      </w:r>
      <w:hyperlink w:anchor="P1388">
        <w:r>
          <w:rPr>
            <w:color w:val="0000FF"/>
          </w:rPr>
          <w:t>354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Опыт лечения по Sherrid M.V. </w:t>
      </w:r>
      <w:hyperlink w:anchor="P1366">
        <w:r>
          <w:rPr>
            <w:color w:val="0000FF"/>
          </w:rPr>
          <w:t>[332]</w:t>
        </w:r>
      </w:hyperlink>
      <w:r>
        <w:t>: при тяжелой обструкции в ВТЛЖ у пациентов с ОГКМП + АГ, не контролируемой фармакотерапией, проводимой в полном объеме, приблизительно четверти пациентов (22%) потребовалась редукция МЖП с целью снижения ГД в ВТЛЖ, и 16% потребовался ДЭКС*** с короткой задержкой АВ для уменьшения ГД в ВТЛЖ у пациентов с исходными (или ятрогенными на фоне комбинированной терапии) нарушениями АВ проведения и внутрижелудочковыми блокадами.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Лечение фибрилляции предсердий у пациентов с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ФП является наиболее частой аритмией при ГКМП, распространенность которой зависит от тяжести заболевания: 22% в общей когорте и до 32% в когорте пациентов с показаниями для имплантации ИКД*** и ЭКС***/ДЭКС*** [</w:t>
      </w:r>
      <w:hyperlink w:anchor="P1045">
        <w:r>
          <w:rPr>
            <w:color w:val="0000FF"/>
          </w:rPr>
          <w:t>11</w:t>
        </w:r>
      </w:hyperlink>
      <w:r>
        <w:t xml:space="preserve">, </w:t>
      </w:r>
      <w:hyperlink w:anchor="P1065">
        <w:r>
          <w:rPr>
            <w:color w:val="0000FF"/>
          </w:rPr>
          <w:t>31</w:t>
        </w:r>
      </w:hyperlink>
      <w:r>
        <w:t xml:space="preserve">, </w:t>
      </w:r>
      <w:hyperlink w:anchor="P1163">
        <w:r>
          <w:rPr>
            <w:color w:val="0000FF"/>
          </w:rPr>
          <w:t>129</w:t>
        </w:r>
      </w:hyperlink>
      <w:r>
        <w:t xml:space="preserve">, </w:t>
      </w:r>
      <w:hyperlink w:anchor="P1168">
        <w:r>
          <w:rPr>
            <w:color w:val="0000FF"/>
          </w:rPr>
          <w:t>134</w:t>
        </w:r>
      </w:hyperlink>
      <w:r>
        <w:t xml:space="preserve">, </w:t>
      </w:r>
      <w:hyperlink w:anchor="P1184">
        <w:r>
          <w:rPr>
            <w:color w:val="0000FF"/>
          </w:rPr>
          <w:t>150</w:t>
        </w:r>
      </w:hyperlink>
      <w:r>
        <w:t xml:space="preserve">, </w:t>
      </w:r>
      <w:hyperlink w:anchor="P1218">
        <w:r>
          <w:rPr>
            <w:color w:val="0000FF"/>
          </w:rPr>
          <w:t>184</w:t>
        </w:r>
      </w:hyperlink>
      <w:r>
        <w:t xml:space="preserve">, </w:t>
      </w:r>
      <w:hyperlink w:anchor="P1231">
        <w:r>
          <w:rPr>
            <w:color w:val="0000FF"/>
          </w:rPr>
          <w:t>197</w:t>
        </w:r>
      </w:hyperlink>
      <w:r>
        <w:t xml:space="preserve">,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389">
        <w:r>
          <w:rPr>
            <w:color w:val="0000FF"/>
          </w:rPr>
          <w:t>355</w:t>
        </w:r>
      </w:hyperlink>
      <w:r>
        <w:t xml:space="preserve"> - </w:t>
      </w:r>
      <w:hyperlink w:anchor="P1392">
        <w:r>
          <w:rPr>
            <w:color w:val="0000FF"/>
          </w:rPr>
          <w:t>358</w:t>
        </w:r>
      </w:hyperlink>
      <w:r>
        <w:t>]. Частота встречаемости ФП de novo в общей когорте ГКМП составляет около 2% в год [</w:t>
      </w:r>
      <w:hyperlink w:anchor="P1163">
        <w:r>
          <w:rPr>
            <w:color w:val="0000FF"/>
          </w:rPr>
          <w:t>129</w:t>
        </w:r>
      </w:hyperlink>
      <w:r>
        <w:t xml:space="preserve">,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391">
        <w:r>
          <w:rPr>
            <w:color w:val="0000FF"/>
          </w:rPr>
          <w:t>357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Задачами фармакотерапии при ГКМП, осложненной ФП, являются купирование приступа, профилактика рецидивов аритмии и тромбоэмболических осложнений.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Восстановление синусового ритма и профилактика рецидивов фибрилляции предсердий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Рекомендовано каждые 6 - 12 месяцев проводить 48-часовое ХМЭКГ для выявления бес- или малосимптомных пароксизмов ФП и определения риска ВСС в когорте пациентов с ГКМП и размером ЛП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45 мм, находящихся на синусовом ритме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6">
        <w:r>
          <w:rPr>
            <w:color w:val="0000FF"/>
          </w:rPr>
          <w:t>112</w:t>
        </w:r>
      </w:hyperlink>
      <w:r>
        <w:t xml:space="preserve">, </w:t>
      </w:r>
      <w:hyperlink w:anchor="P1162">
        <w:r>
          <w:rPr>
            <w:color w:val="0000FF"/>
          </w:rPr>
          <w:t>128</w:t>
        </w:r>
      </w:hyperlink>
      <w:r>
        <w:t xml:space="preserve">, </w:t>
      </w:r>
      <w:hyperlink w:anchor="P1165">
        <w:r>
          <w:rPr>
            <w:color w:val="0000FF"/>
          </w:rPr>
          <w:t>131</w:t>
        </w:r>
      </w:hyperlink>
      <w:r>
        <w:t xml:space="preserve">, </w:t>
      </w:r>
      <w:hyperlink w:anchor="P1213">
        <w:r>
          <w:rPr>
            <w:color w:val="0000FF"/>
          </w:rPr>
          <w:t>179</w:t>
        </w:r>
      </w:hyperlink>
      <w:r>
        <w:t xml:space="preserve">, </w:t>
      </w:r>
      <w:hyperlink w:anchor="P1217">
        <w:r>
          <w:rPr>
            <w:color w:val="0000FF"/>
          </w:rPr>
          <w:t>183</w:t>
        </w:r>
      </w:hyperlink>
      <w:r>
        <w:t xml:space="preserve">,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 - </w:t>
      </w:r>
      <w:hyperlink w:anchor="P1398">
        <w:r>
          <w:rPr>
            <w:color w:val="0000FF"/>
          </w:rPr>
          <w:t>364</w:t>
        </w:r>
      </w:hyperlink>
      <w:r>
        <w:t>]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обнаружение ФП с помощью имплантируемого петлевого регистратора представляет собой уникальную возможность для быстрого выявления бес- или малосимптомных пароксизмов ФП с целью профилактики тромбоэмболических осложнений до того, как случился инсульт. Предикторами и факторами риска возникновения ФП при ГКМП являются: предсердная миопатия, увеличение размера и объема ЛП, повышение уровней NT-proBNP в крови, ХСН III - IV ФК (NYHA), пожилой возраст, обструкция ВТЛЖ, вовлечение правых отделов сердца, генетические факторы.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- Восстановление синусового ритма путем прямой электрической или фармакологической кардиоверсии с внутривенным введением амиодарона** рекомендовано у пациентов с недавно возникшей (&lt; 48 часов) ФП [</w:t>
      </w:r>
      <w:hyperlink w:anchor="P1147">
        <w:r>
          <w:rPr>
            <w:color w:val="0000FF"/>
          </w:rPr>
          <w:t>113</w:t>
        </w:r>
      </w:hyperlink>
      <w:r>
        <w:t xml:space="preserve">, </w:t>
      </w:r>
      <w:hyperlink w:anchor="P1165">
        <w:r>
          <w:rPr>
            <w:color w:val="0000FF"/>
          </w:rPr>
          <w:t>131</w:t>
        </w:r>
      </w:hyperlink>
      <w:r>
        <w:t xml:space="preserve">, </w:t>
      </w:r>
      <w:hyperlink w:anchor="P1217">
        <w:r>
          <w:rPr>
            <w:color w:val="0000FF"/>
          </w:rPr>
          <w:t>183</w:t>
        </w:r>
      </w:hyperlink>
      <w:r>
        <w:t xml:space="preserve">,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, </w:t>
      </w:r>
      <w:hyperlink w:anchor="P1398">
        <w:r>
          <w:rPr>
            <w:color w:val="0000FF"/>
          </w:rPr>
          <w:t>364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5,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без предшествующей антикоагулянтной подготовки кардиоверсия может быть проведена только в случае, если длительность текущего пароксизма не превышает 48 часов. У пациентов с бессимптомными пароксизмами ФП, а также в ситуациях, когда пациент затрудняется назвать длительность текущего пароксизма и не получает антикоагулянтную терапию постоянно, рекомендуется воздержаться от незамедлительного восстановления синусового ритма.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этой ситуации возможно применение 2 стратегий ведения.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Первая стратегия: проведение ранней кардиоверсии после ЧП-ЭХОКГ, не выявившей тромбы в полостях предсердий. Антикоагулянтная поддержка во время процедуры восстановления синусового ритма обязательна.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Вторая стратегия: при невозможности проведения ЧП-ЭХОКГ или выявлении тромбов в полостях предсердий при ЧП-ЭХОКГ следует проводить позднюю кардиоверсию после 3 недель антикоагулянтной терапии (после контрольной ЧП-ЭХОКГ, обязательной в случае наличия тромбов в полостях предсердий при первом обследовании).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Амиодарон** рекомендован для профилактики рецидивов ФП после прямой электрической кардиоверсии [</w:t>
      </w:r>
      <w:hyperlink w:anchor="P1335">
        <w:r>
          <w:rPr>
            <w:color w:val="0000FF"/>
          </w:rPr>
          <w:t>301</w:t>
        </w:r>
      </w:hyperlink>
      <w:r>
        <w:t xml:space="preserve">,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390">
        <w:r>
          <w:rPr>
            <w:color w:val="0000FF"/>
          </w:rPr>
          <w:t>356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, </w:t>
      </w:r>
      <w:hyperlink w:anchor="P1398">
        <w:r>
          <w:rPr>
            <w:color w:val="0000FF"/>
          </w:rPr>
          <w:t>364</w:t>
        </w:r>
      </w:hyperlink>
      <w:r>
        <w:t xml:space="preserve">, </w:t>
      </w:r>
      <w:hyperlink w:anchor="P1399">
        <w:r>
          <w:rPr>
            <w:color w:val="0000FF"/>
          </w:rPr>
          <w:t>365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Бета-адреноблокатор, верапамил** или дилтиазем** рекомендуются для контроля частоты сокращений желудочков у пациентов с ГКМП с постоянной или персистирующей ФП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7">
        <w:r>
          <w:rPr>
            <w:color w:val="0000FF"/>
          </w:rPr>
          <w:t>4</w:t>
        </w:r>
      </w:hyperlink>
      <w:r>
        <w:t xml:space="preserve">, </w:t>
      </w:r>
      <w:hyperlink w:anchor="P1145">
        <w:r>
          <w:rPr>
            <w:color w:val="0000FF"/>
          </w:rPr>
          <w:t>111</w:t>
        </w:r>
      </w:hyperlink>
      <w:r>
        <w:t xml:space="preserve">, </w:t>
      </w:r>
      <w:hyperlink w:anchor="P1165">
        <w:r>
          <w:rPr>
            <w:color w:val="0000FF"/>
          </w:rPr>
          <w:t>131</w:t>
        </w:r>
      </w:hyperlink>
      <w:r>
        <w:t xml:space="preserve">, </w:t>
      </w:r>
      <w:hyperlink w:anchor="P1335">
        <w:r>
          <w:rPr>
            <w:color w:val="0000FF"/>
          </w:rPr>
          <w:t>301</w:t>
        </w:r>
      </w:hyperlink>
      <w:r>
        <w:t xml:space="preserve">,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, </w:t>
      </w:r>
      <w:hyperlink w:anchor="P1398">
        <w:r>
          <w:rPr>
            <w:color w:val="0000FF"/>
          </w:rPr>
          <w:t>364</w:t>
        </w:r>
      </w:hyperlink>
      <w:r>
        <w:t xml:space="preserve">, </w:t>
      </w:r>
      <w:hyperlink w:anchor="P1399">
        <w:r>
          <w:rPr>
            <w:color w:val="0000FF"/>
          </w:rPr>
          <w:t>365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Рекомендовано рассмотреть возможность назначения низких доз дигоксина** пациентам с необструктивной ГКМП, страдающим постоянной формой ФП и ХСН II - IV ФК NYHA, с ФВ &lt; 50%, для контроля частоты сокращения желудочков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65">
        <w:r>
          <w:rPr>
            <w:color w:val="0000FF"/>
          </w:rPr>
          <w:t>131</w:t>
        </w:r>
      </w:hyperlink>
      <w:r>
        <w:t xml:space="preserve">, </w:t>
      </w:r>
      <w:hyperlink w:anchor="P1166">
        <w:r>
          <w:rPr>
            <w:color w:val="0000FF"/>
          </w:rPr>
          <w:t>132</w:t>
        </w:r>
      </w:hyperlink>
      <w:r>
        <w:t xml:space="preserve">, </w:t>
      </w:r>
      <w:hyperlink w:anchor="P1189">
        <w:r>
          <w:rPr>
            <w:color w:val="0000FF"/>
          </w:rPr>
          <w:t>155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232">
        <w:r>
          <w:rPr>
            <w:color w:val="0000FF"/>
          </w:rPr>
          <w:t>198</w:t>
        </w:r>
      </w:hyperlink>
      <w:r>
        <w:t xml:space="preserve">,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359">
        <w:r>
          <w:rPr>
            <w:color w:val="0000FF"/>
          </w:rPr>
          <w:t>325</w:t>
        </w:r>
      </w:hyperlink>
      <w:r>
        <w:t xml:space="preserve">, </w:t>
      </w:r>
      <w:hyperlink w:anchor="P1360">
        <w:r>
          <w:rPr>
            <w:color w:val="0000FF"/>
          </w:rPr>
          <w:t>326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79">
        <w:r>
          <w:rPr>
            <w:color w:val="0000FF"/>
          </w:rPr>
          <w:t>345</w:t>
        </w:r>
      </w:hyperlink>
      <w:r>
        <w:t xml:space="preserve">, </w:t>
      </w:r>
      <w:hyperlink w:anchor="P1380">
        <w:r>
          <w:rPr>
            <w:color w:val="0000FF"/>
          </w:rPr>
          <w:t>346</w:t>
        </w:r>
      </w:hyperlink>
      <w:r>
        <w:t xml:space="preserve">, </w:t>
      </w:r>
      <w:hyperlink w:anchor="P1400">
        <w:r>
          <w:rPr>
            <w:color w:val="0000FF"/>
          </w:rPr>
          <w:t>366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амиодарон** считается лучшим препаратом для контроля ритма, он безопасен и эффективен у пациентов с ГКМП, осложненной ФП.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Соталол** может использоваться в качестве альтернативного антиаритмического агента в лечении пациентов ГКМП, особенно в случае имплантации ИКД***, хотя клинический опыт его применения ограничен.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Начальные и целевые дозы при лекарственной терапии ГКМП представлены в </w:t>
      </w:r>
      <w:hyperlink w:anchor="P1597">
        <w:r>
          <w:rPr>
            <w:color w:val="0000FF"/>
          </w:rPr>
          <w:t>Таблице 3</w:t>
        </w:r>
      </w:hyperlink>
      <w:r>
        <w:t>, Приложение А3.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Профилактика тромбоэмболических осложнений у пациентов с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Если нет противопоказаний, антагонисты витамина K (варфарин**, целевое МНО 2,0 - 3,0) или дабигатрана этексилат** или ривароксабан** или апиксабан** рекомендуются всем </w:t>
      </w:r>
      <w:r>
        <w:lastRenderedPageBreak/>
        <w:t>пациентам, у которых развилась персистирующая, постоянная или пароксизмальная форма ФП, для профилактики тромбоэмболических осложнений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65">
        <w:r>
          <w:rPr>
            <w:color w:val="0000FF"/>
          </w:rPr>
          <w:t>131</w:t>
        </w:r>
      </w:hyperlink>
      <w:r>
        <w:t xml:space="preserve">, </w:t>
      </w:r>
      <w:hyperlink w:anchor="P1184">
        <w:r>
          <w:rPr>
            <w:color w:val="0000FF"/>
          </w:rPr>
          <w:t>150</w:t>
        </w:r>
      </w:hyperlink>
      <w:r>
        <w:t xml:space="preserve">, </w:t>
      </w:r>
      <w:hyperlink w:anchor="P1218">
        <w:r>
          <w:rPr>
            <w:color w:val="0000FF"/>
          </w:rPr>
          <w:t>184</w:t>
        </w:r>
      </w:hyperlink>
      <w:r>
        <w:t xml:space="preserve">, </w:t>
      </w:r>
      <w:hyperlink w:anchor="P1345">
        <w:r>
          <w:rPr>
            <w:color w:val="0000FF"/>
          </w:rPr>
          <w:t>311</w:t>
        </w:r>
      </w:hyperlink>
      <w:r>
        <w:t xml:space="preserve"> -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391">
        <w:r>
          <w:rPr>
            <w:color w:val="0000FF"/>
          </w:rPr>
          <w:t>357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, </w:t>
      </w:r>
      <w:hyperlink w:anchor="P1394">
        <w:r>
          <w:rPr>
            <w:color w:val="0000FF"/>
          </w:rPr>
          <w:t>360</w:t>
        </w:r>
      </w:hyperlink>
      <w:r>
        <w:t xml:space="preserve">, </w:t>
      </w:r>
      <w:hyperlink w:anchor="P1398">
        <w:r>
          <w:rPr>
            <w:color w:val="0000FF"/>
          </w:rPr>
          <w:t>364</w:t>
        </w:r>
      </w:hyperlink>
      <w:r>
        <w:t xml:space="preserve">, </w:t>
      </w:r>
      <w:hyperlink w:anchor="P1401">
        <w:r>
          <w:rPr>
            <w:color w:val="0000FF"/>
          </w:rPr>
          <w:t>367</w:t>
        </w:r>
      </w:hyperlink>
      <w:r>
        <w:t xml:space="preserve"> - </w:t>
      </w:r>
      <w:hyperlink w:anchor="P1407">
        <w:r>
          <w:rPr>
            <w:color w:val="0000FF"/>
          </w:rPr>
          <w:t>373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2 УУР </w:t>
      </w:r>
      <w:hyperlink w:anchor="P1559">
        <w:r>
          <w:rPr>
            <w:color w:val="0000FF"/>
          </w:rPr>
          <w:t>B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Необходимо помнить об эмбриотоксичности варфарина (см. раздел "ГКМП у беременных").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Меньше данных по антикоагулянтной терапии при трепетании предсердий и других предсердных аритмиях, но риск тромбоэмболий при них считается таким же, как при ФП.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Оценка риска кровотечений при помощи шкалы HAS-BLED рекомендуется при назначении варфарина** без или в сочетании с ингибиторами агрегации тромбоцитов.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65">
        <w:r>
          <w:rPr>
            <w:color w:val="0000FF"/>
          </w:rPr>
          <w:t>131</w:t>
        </w:r>
      </w:hyperlink>
      <w:r>
        <w:t xml:space="preserve">,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, </w:t>
      </w:r>
      <w:hyperlink w:anchor="P1394">
        <w:r>
          <w:rPr>
            <w:color w:val="0000FF"/>
          </w:rPr>
          <w:t>360</w:t>
        </w:r>
      </w:hyperlink>
      <w:r>
        <w:t xml:space="preserve">, </w:t>
      </w:r>
      <w:hyperlink w:anchor="P1398">
        <w:r>
          <w:rPr>
            <w:color w:val="0000FF"/>
          </w:rPr>
          <w:t>364</w:t>
        </w:r>
      </w:hyperlink>
      <w:r>
        <w:t xml:space="preserve">, </w:t>
      </w:r>
      <w:hyperlink w:anchor="P1402">
        <w:r>
          <w:rPr>
            <w:color w:val="0000FF"/>
          </w:rPr>
          <w:t>368</w:t>
        </w:r>
      </w:hyperlink>
      <w:r>
        <w:t xml:space="preserve">, </w:t>
      </w:r>
      <w:hyperlink w:anchor="P1345">
        <w:r>
          <w:rPr>
            <w:color w:val="0000FF"/>
          </w:rPr>
          <w:t>311</w:t>
        </w:r>
      </w:hyperlink>
      <w:r>
        <w:t xml:space="preserve">, </w:t>
      </w:r>
      <w:hyperlink w:anchor="P1347">
        <w:r>
          <w:rPr>
            <w:color w:val="0000FF"/>
          </w:rPr>
          <w:t>313</w:t>
        </w:r>
      </w:hyperlink>
      <w:r>
        <w:t xml:space="preserve">, </w:t>
      </w:r>
      <w:hyperlink w:anchor="P1403">
        <w:r>
          <w:rPr>
            <w:color w:val="0000FF"/>
          </w:rPr>
          <w:t>369</w:t>
        </w:r>
      </w:hyperlink>
      <w:r>
        <w:t xml:space="preserve"> - </w:t>
      </w:r>
      <w:hyperlink w:anchor="P1408">
        <w:r>
          <w:rPr>
            <w:color w:val="0000FF"/>
          </w:rPr>
          <w:t>374</w:t>
        </w:r>
      </w:hyperlink>
      <w:r>
        <w:t>]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IIaD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Шкала HAS-BLED (не валидирована для пациентов с ГКМП): баллы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3 указывают на высокий риск кровотечений и должны быть приняты меры предосторожности с лабораторным и клинико-инструментальным контролем. Шкала HAS-BLED - см. </w:t>
      </w:r>
      <w:hyperlink w:anchor="P2419">
        <w:r>
          <w:rPr>
            <w:color w:val="0000FF"/>
          </w:rPr>
          <w:t>таблицу П5</w:t>
        </w:r>
      </w:hyperlink>
      <w:r>
        <w:t>, Приложение Г2.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Если пациент с ГКМП, осложненной ФП, не может принимать подобранную дозу варфарина** из-за побочных действий или невозможности поддерживать терапевтический уровень антикоагуляции (МНО 2,0 - 3,0), или невозможности осуществлять мониторинг МНО, рекомендуется использовать дабигатрана этексилат** или ривароксабан**, или апиксабан**.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65">
        <w:r>
          <w:rPr>
            <w:color w:val="0000FF"/>
          </w:rPr>
          <w:t>131</w:t>
        </w:r>
      </w:hyperlink>
      <w:r>
        <w:t xml:space="preserve">,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, </w:t>
      </w:r>
      <w:hyperlink w:anchor="P1394">
        <w:r>
          <w:rPr>
            <w:color w:val="0000FF"/>
          </w:rPr>
          <w:t>360</w:t>
        </w:r>
      </w:hyperlink>
      <w:r>
        <w:t xml:space="preserve">, </w:t>
      </w:r>
      <w:hyperlink w:anchor="P1398">
        <w:r>
          <w:rPr>
            <w:color w:val="0000FF"/>
          </w:rPr>
          <w:t>364</w:t>
        </w:r>
      </w:hyperlink>
      <w:r>
        <w:t xml:space="preserve">, </w:t>
      </w:r>
      <w:hyperlink w:anchor="P1402">
        <w:r>
          <w:rPr>
            <w:color w:val="0000FF"/>
          </w:rPr>
          <w:t>368</w:t>
        </w:r>
      </w:hyperlink>
      <w:r>
        <w:t xml:space="preserve">, </w:t>
      </w:r>
      <w:hyperlink w:anchor="P1409">
        <w:r>
          <w:rPr>
            <w:color w:val="0000FF"/>
          </w:rPr>
          <w:t>375</w:t>
        </w:r>
      </w:hyperlink>
      <w:r>
        <w:t xml:space="preserve">, </w:t>
      </w:r>
      <w:hyperlink w:anchor="P1410">
        <w:r>
          <w:rPr>
            <w:color w:val="0000FF"/>
          </w:rPr>
          <w:t>376</w:t>
        </w:r>
      </w:hyperlink>
      <w:r>
        <w:t xml:space="preserve">, </w:t>
      </w:r>
      <w:hyperlink w:anchor="P1345">
        <w:r>
          <w:rPr>
            <w:color w:val="0000FF"/>
          </w:rPr>
          <w:t>311</w:t>
        </w:r>
      </w:hyperlink>
      <w:r>
        <w:t xml:space="preserve">, </w:t>
      </w:r>
      <w:hyperlink w:anchor="P1347">
        <w:r>
          <w:rPr>
            <w:color w:val="0000FF"/>
          </w:rPr>
          <w:t>313</w:t>
        </w:r>
      </w:hyperlink>
      <w:r>
        <w:t xml:space="preserve">, </w:t>
      </w:r>
      <w:hyperlink w:anchor="P1403">
        <w:r>
          <w:rPr>
            <w:color w:val="0000FF"/>
          </w:rPr>
          <w:t>369</w:t>
        </w:r>
      </w:hyperlink>
      <w:r>
        <w:t xml:space="preserve"> - </w:t>
      </w:r>
      <w:hyperlink w:anchor="P1408">
        <w:r>
          <w:rPr>
            <w:color w:val="0000FF"/>
          </w:rPr>
          <w:t>374</w:t>
        </w:r>
      </w:hyperlink>
      <w:r>
        <w:t xml:space="preserve">, </w:t>
      </w:r>
      <w:hyperlink w:anchor="P1411">
        <w:r>
          <w:rPr>
            <w:color w:val="0000FF"/>
          </w:rPr>
          <w:t>377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1 УУР </w:t>
      </w:r>
      <w:hyperlink w:anchor="P1559">
        <w:r>
          <w:rPr>
            <w:color w:val="0000FF"/>
          </w:rPr>
          <w:t>B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Варфарин** или дабигатрана этексилат** или ривароксабан** или апиксабан** следует назначать независимо от шкалы CHA2DS2-VASc даже после одного эпизода ФП. Шкала CHA2DS2-VASc - см. </w:t>
      </w:r>
      <w:hyperlink w:anchor="P2361">
        <w:r>
          <w:rPr>
            <w:color w:val="0000FF"/>
          </w:rPr>
          <w:t>таблицу П4</w:t>
        </w:r>
      </w:hyperlink>
      <w:r>
        <w:t>, Приложение Г2.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Во всех случаях ГКМП, осложненной ФП, рекомендуется пожизненная терапия варфарином** (МНО 2,0 - 3,0) или дабигатрана этексилатом** или ривароксабаном** или апиксабаном**, даже если синусовый ритм был восстановлен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5">
        <w:r>
          <w:rPr>
            <w:color w:val="0000FF"/>
          </w:rPr>
          <w:t>111</w:t>
        </w:r>
      </w:hyperlink>
      <w:r>
        <w:t xml:space="preserve">, </w:t>
      </w:r>
      <w:hyperlink w:anchor="P1147">
        <w:r>
          <w:rPr>
            <w:color w:val="0000FF"/>
          </w:rPr>
          <w:t>113</w:t>
        </w:r>
      </w:hyperlink>
      <w:r>
        <w:t xml:space="preserve">, </w:t>
      </w:r>
      <w:hyperlink w:anchor="P1165">
        <w:r>
          <w:rPr>
            <w:color w:val="0000FF"/>
          </w:rPr>
          <w:t>131</w:t>
        </w:r>
      </w:hyperlink>
      <w:r>
        <w:t xml:space="preserve">, </w:t>
      </w:r>
      <w:hyperlink w:anchor="P1184">
        <w:r>
          <w:rPr>
            <w:color w:val="0000FF"/>
          </w:rPr>
          <w:t>150</w:t>
        </w:r>
      </w:hyperlink>
      <w:r>
        <w:t xml:space="preserve">, </w:t>
      </w:r>
      <w:hyperlink w:anchor="P1209">
        <w:r>
          <w:rPr>
            <w:color w:val="0000FF"/>
          </w:rPr>
          <w:t>175</w:t>
        </w:r>
      </w:hyperlink>
      <w:r>
        <w:t xml:space="preserve">,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91">
        <w:r>
          <w:rPr>
            <w:color w:val="0000FF"/>
          </w:rPr>
          <w:t>357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, </w:t>
      </w:r>
      <w:hyperlink w:anchor="P1394">
        <w:r>
          <w:rPr>
            <w:color w:val="0000FF"/>
          </w:rPr>
          <w:t>360</w:t>
        </w:r>
      </w:hyperlink>
      <w:r>
        <w:t xml:space="preserve">, </w:t>
      </w:r>
      <w:hyperlink w:anchor="P1398">
        <w:r>
          <w:rPr>
            <w:color w:val="0000FF"/>
          </w:rPr>
          <w:t>364</w:t>
        </w:r>
      </w:hyperlink>
      <w:r>
        <w:t xml:space="preserve">, </w:t>
      </w:r>
      <w:hyperlink w:anchor="P1402">
        <w:r>
          <w:rPr>
            <w:color w:val="0000FF"/>
          </w:rPr>
          <w:t>368</w:t>
        </w:r>
      </w:hyperlink>
      <w:r>
        <w:t xml:space="preserve">, </w:t>
      </w:r>
      <w:hyperlink w:anchor="P1345">
        <w:r>
          <w:rPr>
            <w:color w:val="0000FF"/>
          </w:rPr>
          <w:t>311</w:t>
        </w:r>
      </w:hyperlink>
      <w:r>
        <w:t xml:space="preserve">, </w:t>
      </w:r>
      <w:hyperlink w:anchor="P1347">
        <w:r>
          <w:rPr>
            <w:color w:val="0000FF"/>
          </w:rPr>
          <w:t>313</w:t>
        </w:r>
      </w:hyperlink>
      <w:r>
        <w:t xml:space="preserve">, </w:t>
      </w:r>
      <w:hyperlink w:anchor="P1403">
        <w:r>
          <w:rPr>
            <w:color w:val="0000FF"/>
          </w:rPr>
          <w:t>369</w:t>
        </w:r>
      </w:hyperlink>
      <w:r>
        <w:t xml:space="preserve"> - </w:t>
      </w:r>
      <w:hyperlink w:anchor="P1408">
        <w:r>
          <w:rPr>
            <w:color w:val="0000FF"/>
          </w:rPr>
          <w:t>374</w:t>
        </w:r>
      </w:hyperlink>
      <w:r>
        <w:t xml:space="preserve">, </w:t>
      </w:r>
      <w:hyperlink w:anchor="P1411">
        <w:r>
          <w:rPr>
            <w:color w:val="0000FF"/>
          </w:rPr>
          <w:t>377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Терапия ацетилсалициловой кислотой в дозировке 75 - 100 мг плюс клопидогрел** 75 мг в день (при низком риске кровотечений) рекомендуется, если пациент с ГКМП, осложненной ФП, отказывается принимать варфарин** или дабигатрана этексилат** или ривароксабан**, или апиксабан**.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412">
        <w:r>
          <w:rPr>
            <w:color w:val="0000FF"/>
          </w:rPr>
          <w:t>378</w:t>
        </w:r>
      </w:hyperlink>
      <w:r>
        <w:t>]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ГКМП, осложненной ФП без выраженного увеличения ЛП в случаях рефрактерной к фармакотерапии симптоматики и невозможности использования антиаритмических препаратов рекомендовано проведение катетерных процедур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5">
        <w:r>
          <w:rPr>
            <w:color w:val="0000FF"/>
          </w:rPr>
          <w:t>111</w:t>
        </w:r>
      </w:hyperlink>
      <w:r>
        <w:t xml:space="preserve">, </w:t>
      </w:r>
      <w:hyperlink w:anchor="P1165">
        <w:r>
          <w:rPr>
            <w:color w:val="0000FF"/>
          </w:rPr>
          <w:t>131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, </w:t>
      </w:r>
      <w:hyperlink w:anchor="P1394">
        <w:r>
          <w:rPr>
            <w:color w:val="0000FF"/>
          </w:rPr>
          <w:t>360</w:t>
        </w:r>
      </w:hyperlink>
      <w:r>
        <w:t xml:space="preserve">, </w:t>
      </w:r>
      <w:hyperlink w:anchor="P1398">
        <w:r>
          <w:rPr>
            <w:color w:val="0000FF"/>
          </w:rPr>
          <w:t>364</w:t>
        </w:r>
      </w:hyperlink>
      <w:r>
        <w:t xml:space="preserve">, </w:t>
      </w:r>
      <w:hyperlink w:anchor="P1413">
        <w:r>
          <w:rPr>
            <w:color w:val="0000FF"/>
          </w:rPr>
          <w:t>379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 xml:space="preserve">ЕОК IIaB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Инвазивные методы лечения ФП - см. </w:t>
      </w:r>
      <w:hyperlink w:anchor="P730">
        <w:r>
          <w:rPr>
            <w:color w:val="0000FF"/>
          </w:rPr>
          <w:t>раздел 3.2</w:t>
        </w:r>
      </w:hyperlink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3" w:name="P730"/>
      <w:bookmarkEnd w:id="3"/>
      <w:r>
        <w:t>3.2 Хирургическое и интервенционное лечение ГКМП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Редукция МЖП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обструктивной ГКМП хирургический метод лечения является "золотым стандартом" (средние показатели смертности &lt; 2%, эффективность более чем у 90% пациентов, частота осложнений &lt; 5%).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В некоторых медицинских Центрах редукцию МЖП рекомендуют выполнять пациентам с более мягкой симптоматикой в случаях значительной латентной обструкции, у которых максимальный и индуцируемый ГД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 мм рт. ст.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Определяющим фактором для достижения хороших результатов СМЭ/РМЭ и САА является опыт Центров, который должен измеряться более чем 50 процедурами, выполняемыми в год, и более чем 20 процедурами, выполняемыми хирургом или интервенционным кардиологом. Редукция МЖП должна выполняться опытным специалистом, работающим в мультидисциплинарной команде экспертов в лечении ГКМП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0">
        <w:r>
          <w:rPr>
            <w:color w:val="0000FF"/>
          </w:rPr>
          <w:t>106</w:t>
        </w:r>
      </w:hyperlink>
      <w:r>
        <w:t xml:space="preserve">, </w:t>
      </w:r>
      <w:hyperlink w:anchor="P1247">
        <w:r>
          <w:rPr>
            <w:color w:val="0000FF"/>
          </w:rPr>
          <w:t>213</w:t>
        </w:r>
      </w:hyperlink>
      <w:r>
        <w:t xml:space="preserve">, </w:t>
      </w:r>
      <w:hyperlink w:anchor="P1355">
        <w:r>
          <w:rPr>
            <w:color w:val="0000FF"/>
          </w:rPr>
          <w:t>321</w:t>
        </w:r>
      </w:hyperlink>
      <w:r>
        <w:t xml:space="preserve">, </w:t>
      </w:r>
      <w:hyperlink w:anchor="P1354">
        <w:r>
          <w:rPr>
            <w:color w:val="0000FF"/>
          </w:rPr>
          <w:t>320</w:t>
        </w:r>
      </w:hyperlink>
      <w:r>
        <w:t xml:space="preserve">, </w:t>
      </w:r>
      <w:hyperlink w:anchor="P1414">
        <w:r>
          <w:rPr>
            <w:color w:val="0000FF"/>
          </w:rPr>
          <w:t>380</w:t>
        </w:r>
      </w:hyperlink>
      <w:r>
        <w:t xml:space="preserve"> - </w:t>
      </w:r>
      <w:hyperlink w:anchor="P1422">
        <w:r>
          <w:rPr>
            <w:color w:val="0000FF"/>
          </w:rPr>
          <w:t>388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Редукция МЖП рекомендуется пациентам ГКМП с ГД в ВТЛЖ (в покое или максимальным провоцируемым)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 мм рт. ст., с ХСН III - IV ФК (NYHA), несмотря на максимальную переносимую терапию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07">
        <w:r>
          <w:rPr>
            <w:color w:val="0000FF"/>
          </w:rPr>
          <w:t>73</w:t>
        </w:r>
      </w:hyperlink>
      <w:r>
        <w:t xml:space="preserve">, </w:t>
      </w:r>
      <w:hyperlink w:anchor="P1139">
        <w:r>
          <w:rPr>
            <w:color w:val="0000FF"/>
          </w:rPr>
          <w:t>105</w:t>
        </w:r>
      </w:hyperlink>
      <w:r>
        <w:t xml:space="preserve">, </w:t>
      </w:r>
      <w:hyperlink w:anchor="P1140">
        <w:r>
          <w:rPr>
            <w:color w:val="0000FF"/>
          </w:rPr>
          <w:t>106</w:t>
        </w:r>
      </w:hyperlink>
      <w:r>
        <w:t xml:space="preserve">, </w:t>
      </w:r>
      <w:hyperlink w:anchor="P1350">
        <w:r>
          <w:rPr>
            <w:color w:val="0000FF"/>
          </w:rPr>
          <w:t>316</w:t>
        </w:r>
      </w:hyperlink>
      <w:r>
        <w:t xml:space="preserve"> - </w:t>
      </w:r>
      <w:hyperlink w:anchor="P1355">
        <w:r>
          <w:rPr>
            <w:color w:val="0000FF"/>
          </w:rPr>
          <w:t>321</w:t>
        </w:r>
      </w:hyperlink>
      <w:r>
        <w:t xml:space="preserve">, </w:t>
      </w:r>
      <w:hyperlink w:anchor="P1414">
        <w:r>
          <w:rPr>
            <w:color w:val="0000FF"/>
          </w:rPr>
          <w:t>380</w:t>
        </w:r>
      </w:hyperlink>
      <w:r>
        <w:t xml:space="preserve"> - </w:t>
      </w:r>
      <w:hyperlink w:anchor="P1418">
        <w:r>
          <w:rPr>
            <w:color w:val="0000FF"/>
          </w:rPr>
          <w:t>384</w:t>
        </w:r>
      </w:hyperlink>
      <w:r>
        <w:t xml:space="preserve">, </w:t>
      </w:r>
      <w:hyperlink w:anchor="P1422">
        <w:r>
          <w:rPr>
            <w:color w:val="0000FF"/>
          </w:rPr>
          <w:t>388</w:t>
        </w:r>
      </w:hyperlink>
      <w:r>
        <w:t xml:space="preserve"> - </w:t>
      </w:r>
      <w:hyperlink w:anchor="P1428">
        <w:r>
          <w:rPr>
            <w:color w:val="0000FF"/>
          </w:rPr>
          <w:t>394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2 УУР </w:t>
      </w:r>
      <w:hyperlink w:anchor="P1557">
        <w:r>
          <w:rPr>
            <w:color w:val="0000FF"/>
          </w:rPr>
          <w:t>A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Редукция МЖП осуществляется с помощью септальной миоэктомии (СМЭ), расширенной СМЭ (РМЭ) и септальной спиртовой аблации (САА).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Показания к редукции МЖП (СМЭ/РМЭ/САА) представлены в </w:t>
      </w:r>
      <w:hyperlink w:anchor="P1773">
        <w:r>
          <w:rPr>
            <w:color w:val="0000FF"/>
          </w:rPr>
          <w:t>Приложении Б10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Редукция МЖП рекомендована для пациентов с ГКМП и повторными обмороками при нагрузке, вызываемыми ГД в ВТЛЖ (в покое или максимальным провоцируемым)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 мм рт. ст., несмотря на оптимальную терапию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57">
        <w:r>
          <w:rPr>
            <w:color w:val="0000FF"/>
          </w:rPr>
          <w:t>123</w:t>
        </w:r>
      </w:hyperlink>
      <w:r>
        <w:t xml:space="preserve"> - </w:t>
      </w:r>
      <w:hyperlink w:anchor="P1159">
        <w:r>
          <w:rPr>
            <w:color w:val="0000FF"/>
          </w:rPr>
          <w:t>125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Алгоритм дигностики и врачебной тактики при синкопальных состояниях представлен в </w:t>
      </w:r>
      <w:hyperlink w:anchor="P1750">
        <w:r>
          <w:rPr>
            <w:color w:val="0000FF"/>
          </w:rPr>
          <w:t>Приложении Б8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Показания к редукции МЖП (СМЭ/РМЭ/САА) представлены в </w:t>
      </w:r>
      <w:hyperlink w:anchor="P1773">
        <w:r>
          <w:rPr>
            <w:color w:val="0000FF"/>
          </w:rPr>
          <w:t>Приложении Б10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Алгоритм предоперационной диагностики для выбора дополнительных вмешательств на МК при СМЭ/РМЭ представлен в </w:t>
      </w:r>
      <w:hyperlink w:anchor="P1717">
        <w:r>
          <w:rPr>
            <w:color w:val="0000FF"/>
          </w:rPr>
          <w:t>Приложении Б5</w:t>
        </w:r>
      </w:hyperlink>
      <w:r>
        <w:t xml:space="preserve"> (см. также рекомендации к МРТ).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Алгоритм выбора метода редукции МЖП при ГКМП представлен в </w:t>
      </w:r>
      <w:hyperlink w:anchor="P1729">
        <w:r>
          <w:rPr>
            <w:color w:val="0000FF"/>
          </w:rPr>
          <w:t>Приложении Б6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Сравнение СМЭ/РМЭ и САА представлено в </w:t>
      </w:r>
      <w:hyperlink w:anchor="P1790">
        <w:r>
          <w:rPr>
            <w:color w:val="0000FF"/>
          </w:rPr>
          <w:t>Приложении Б11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СМЭ/РМЭ предпочтительнее, чем САА, и рекомендуется пациентам с показаниями к редукции МЖП, имеющим показания для других хирургических вмешательств (на папиллярных </w:t>
      </w:r>
      <w:r>
        <w:lastRenderedPageBreak/>
        <w:t>мышцах, протезирование митрального клапана, АКШ)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251">
        <w:r>
          <w:rPr>
            <w:color w:val="0000FF"/>
          </w:rPr>
          <w:t>217</w:t>
        </w:r>
      </w:hyperlink>
      <w:r>
        <w:t xml:space="preserve">, </w:t>
      </w:r>
      <w:hyperlink w:anchor="P1258">
        <w:r>
          <w:rPr>
            <w:color w:val="0000FF"/>
          </w:rPr>
          <w:t>224</w:t>
        </w:r>
      </w:hyperlink>
      <w:r>
        <w:t xml:space="preserve">, </w:t>
      </w:r>
      <w:hyperlink w:anchor="P1351">
        <w:r>
          <w:rPr>
            <w:color w:val="0000FF"/>
          </w:rPr>
          <w:t>317</w:t>
        </w:r>
      </w:hyperlink>
      <w:r>
        <w:t xml:space="preserve">, </w:t>
      </w:r>
      <w:hyperlink w:anchor="P1352">
        <w:r>
          <w:rPr>
            <w:color w:val="0000FF"/>
          </w:rPr>
          <w:t>318</w:t>
        </w:r>
      </w:hyperlink>
      <w:r>
        <w:t xml:space="preserve">, </w:t>
      </w:r>
      <w:hyperlink w:anchor="P1415">
        <w:r>
          <w:rPr>
            <w:color w:val="0000FF"/>
          </w:rPr>
          <w:t>381</w:t>
        </w:r>
      </w:hyperlink>
      <w:r>
        <w:t xml:space="preserve">, </w:t>
      </w:r>
      <w:hyperlink w:anchor="P1416">
        <w:r>
          <w:rPr>
            <w:color w:val="0000FF"/>
          </w:rPr>
          <w:t>382</w:t>
        </w:r>
      </w:hyperlink>
      <w:r>
        <w:t xml:space="preserve">, </w:t>
      </w:r>
      <w:hyperlink w:anchor="P1419">
        <w:r>
          <w:rPr>
            <w:color w:val="0000FF"/>
          </w:rPr>
          <w:t>385</w:t>
        </w:r>
      </w:hyperlink>
      <w:r>
        <w:t xml:space="preserve"> - </w:t>
      </w:r>
      <w:hyperlink w:anchor="P1421">
        <w:r>
          <w:rPr>
            <w:color w:val="0000FF"/>
          </w:rPr>
          <w:t>387</w:t>
        </w:r>
      </w:hyperlink>
      <w:r>
        <w:t xml:space="preserve">, </w:t>
      </w:r>
      <w:hyperlink w:anchor="P1425">
        <w:r>
          <w:rPr>
            <w:color w:val="0000FF"/>
          </w:rPr>
          <w:t>391</w:t>
        </w:r>
      </w:hyperlink>
      <w:r>
        <w:t xml:space="preserve">, </w:t>
      </w:r>
      <w:hyperlink w:anchor="P1432">
        <w:r>
          <w:rPr>
            <w:color w:val="0000FF"/>
          </w:rPr>
          <w:t>398</w:t>
        </w:r>
      </w:hyperlink>
      <w:r>
        <w:t xml:space="preserve"> - </w:t>
      </w:r>
      <w:hyperlink w:anchor="P1436">
        <w:r>
          <w:rPr>
            <w:color w:val="0000FF"/>
          </w:rPr>
          <w:t>402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2 УУР </w:t>
      </w:r>
      <w:hyperlink w:anchor="P1559">
        <w:r>
          <w:rPr>
            <w:color w:val="0000FF"/>
          </w:rPr>
          <w:t>B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СМЭ - "миоэктомия по Morrow" трансаортальным доступом (первая операция была проведена в 1958 г.) в большинстве случаев устраняет обструкцию ВТЛЖ, вызванную гипертрофированной МЖП, однако не устраняет аномалии МК, вносящие вклад в обструкцию ВТЛЖ.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Messmer B.J. с соавт. (1994) усовершенствовали миэктомию по Morrow, расширив область резекции гипертрофированной МЖП в апикальном направлении к основанию ПМ (РМЭ). Иногда в англоязычной литературе РМЭ называют процедурой RPR (сокр. от resection - резекция гипертрофированного участка МЖП, plication - укорочение передней створки МК путем создания горизонтальной складки в ее основании, release - освобождение/иссечение аномальных прикреплений гипертрофированных папиллярных мышц).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выявлении 2-уровневой обструкции (увеличенный ГД в ВТЛЖ и на уровне средней части полости ЛЖ) миоэктомия может быть расширена до середины полости ЛЖ и вокруг основания ПМ, однако данные о долгосрочном эффекте такого подхода ограничены.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специализированных центрах, имеющих наибольший опыт по лечению пациентов с ГКМП, используется трансапикальный доступ, направленный на снижение ГД и уменьшение симптомов у пациентов среднежелудочковой ОГКМП. В редких случаях при 2-уровневой обструкции ЛЖ используют комбинированный трансапикальный + трансаортальный доступ или правожелудочковый и трансаортальный доступы [</w:t>
      </w:r>
      <w:hyperlink w:anchor="P1105">
        <w:r>
          <w:rPr>
            <w:color w:val="0000FF"/>
          </w:rPr>
          <w:t>71</w:t>
        </w:r>
      </w:hyperlink>
      <w:r>
        <w:t xml:space="preserve">, </w:t>
      </w:r>
      <w:hyperlink w:anchor="P1377">
        <w:r>
          <w:rPr>
            <w:color w:val="0000FF"/>
          </w:rPr>
          <w:t>343</w:t>
        </w:r>
      </w:hyperlink>
      <w:r>
        <w:t xml:space="preserve">, </w:t>
      </w:r>
      <w:hyperlink w:anchor="P1437">
        <w:r>
          <w:rPr>
            <w:color w:val="0000FF"/>
          </w:rPr>
          <w:t>403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среднежелудочковой ОГКМП, при отсутствии выраженных аномалий митрального клапана может быть выполнена миоэктомия из правого желудочка трансвентрикулярным или транспредсердным доступом. Этот хирургический доступ имеет преимущество перед трансаортальным доступом у пациентов молодого возраста с выраженной гипертрофией МЖП вследствие более низкого риска развития АВБ [</w:t>
      </w:r>
      <w:hyperlink w:anchor="P1438">
        <w:r>
          <w:rPr>
            <w:color w:val="0000FF"/>
          </w:rPr>
          <w:t>404</w:t>
        </w:r>
      </w:hyperlink>
      <w:r>
        <w:t xml:space="preserve">, </w:t>
      </w:r>
      <w:hyperlink w:anchor="P1439">
        <w:r>
          <w:rPr>
            <w:color w:val="0000FF"/>
          </w:rPr>
          <w:t>405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выявлении двухжелудочковой обструкции (увеличенный ГД в ВТЛЖ &gt; 50 мм рт. ст. и увеличенный ГД в ВТПЖ &gt; 16 мм рт. ст.) может применяться комбинированный доступ: СМЭ трансаортальным доступом и РМЭ доступом со стороны ПЖ.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специализированных центрах, имеющих наибольший опыт по лечению пациентов с ГКМП, при выявлении двухжелудочковой обструкции, при отсутствии аномалий подклапанных структур митрального клапана миоэктомия может быть выполнена доступом из ПЖ трансвентрикулярным или транспредсердным доступом [</w:t>
      </w:r>
      <w:hyperlink w:anchor="P1140">
        <w:r>
          <w:rPr>
            <w:color w:val="0000FF"/>
          </w:rPr>
          <w:t>106</w:t>
        </w:r>
      </w:hyperlink>
      <w:r>
        <w:t xml:space="preserve">, </w:t>
      </w:r>
      <w:hyperlink w:anchor="P1355">
        <w:r>
          <w:rPr>
            <w:color w:val="0000FF"/>
          </w:rPr>
          <w:t>321</w:t>
        </w:r>
      </w:hyperlink>
      <w:r>
        <w:t xml:space="preserve">, </w:t>
      </w:r>
      <w:hyperlink w:anchor="P1440">
        <w:r>
          <w:rPr>
            <w:color w:val="0000FF"/>
          </w:rPr>
          <w:t>406</w:t>
        </w:r>
      </w:hyperlink>
      <w:r>
        <w:t xml:space="preserve"> - </w:t>
      </w:r>
      <w:hyperlink w:anchor="P1442">
        <w:r>
          <w:rPr>
            <w:color w:val="0000FF"/>
          </w:rPr>
          <w:t>408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Аномалии структур аппарата МК, ассоциированные с ГКМП, могут и должны быть устранены во время операции с целью снизить ГД в ВТЛЖ, не прибегая к замене митрального клапана.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Показателями эффективности процедуры РМЭ при ЭХОКГ являются: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контакт передней створки МК и МЖП (SAM-syndrome) отсутствует,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остаточный ГД в ВТЛЖ при провокации должен быть не более 20 мм рт. ст.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Уровень успеха и частота осложнений главным образом зависят от опыта хирурга или интервенционного кардиолога.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Пожелания пациента (после подробного обсуждения вариантов лечения) имеют значение для принятия окончательного решения.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Выбор метода редукции МЖП (СМЭ/РМЭ или САА) должен основываться на тщательном обследовании пациента и обсуждении мультидисциплинарной командой специалистов.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Протезирование МК рекомендовано у симптомных пациентов с ГД в ВТЛЖ (в покое или максимальным провоцируемым)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 мм рт. ст. и митральной регургитацией от средней до тяжелой степени, не вызванных изолированной ПСД створки МК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355">
        <w:r>
          <w:rPr>
            <w:color w:val="0000FF"/>
          </w:rPr>
          <w:t>321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дополнительные врожденные или приобретенные аномалии МК могут вызывать выраженную митральную регургитацию, которая не обусловлена исключительно ПСД МК. В этой ситуации пластика МК (пликация), как правило, не снижает степень регургитации, и устранение ее возможно лишь протезированием МК.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Рекомендуется рассмотреть возможность протезирования МК у пациентов с ГД в ВТЛЖ (в покое или максимальным провоцируемым)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 мм рт. ст. и максимальной толщиной межжелудочковой перегородки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16 мм в месте митрально-септального контакта, если имеется митральная регургитация от средней до тяжелой степени после изолированной миоэктомии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443">
        <w:r>
          <w:rPr>
            <w:color w:val="0000FF"/>
          </w:rPr>
          <w:t>409</w:t>
        </w:r>
      </w:hyperlink>
      <w:r>
        <w:t xml:space="preserve">, </w:t>
      </w:r>
      <w:hyperlink w:anchor="P1444">
        <w:r>
          <w:rPr>
            <w:color w:val="0000FF"/>
          </w:rPr>
          <w:t>410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подобные случаи описаны у пациентов, оперированных в первые 2 десятилетия после применения процедуры "миэктомии по Morrow" (изолированной миоэктомии, 1958) </w:t>
      </w:r>
      <w:hyperlink w:anchor="P1445">
        <w:r>
          <w:rPr>
            <w:color w:val="0000FF"/>
          </w:rPr>
          <w:t>[411]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Описаны также методики успешной коррекции обструкции ВТЛЖ и митральной недостаточности путем выполнения трансмитральной СМЭ с отсечением передней створки МК и выполнения СМЭ из ВТЛЖ с последующей пластикой или протезированием МК [</w:t>
      </w:r>
      <w:hyperlink w:anchor="P1439">
        <w:r>
          <w:rPr>
            <w:color w:val="0000FF"/>
          </w:rPr>
          <w:t>405</w:t>
        </w:r>
      </w:hyperlink>
      <w:r>
        <w:t xml:space="preserve">, </w:t>
      </w:r>
      <w:hyperlink w:anchor="P1446">
        <w:r>
          <w:rPr>
            <w:color w:val="0000FF"/>
          </w:rPr>
          <w:t>412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Для выполнения адекватной редукции МЖП при РМЭ рядом авторов рекомендовано применять различные технические приемы: мобилизация сердца, применение торакоскопии </w:t>
      </w:r>
      <w:hyperlink w:anchor="P1422">
        <w:r>
          <w:rPr>
            <w:color w:val="0000FF"/>
          </w:rPr>
          <w:t>[388]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Специфического обезболивания при хирургических и инвазивных вмешательствах пациентам с ГКМП не требуется.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Рекомендации по ЭКС у пациентов с обструктивной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Рекомендуется рассмотреть возможность постоянной ЭКС*** с оптимальным АВ-интервалом для снижения ГД в ВТЛЖ или для расширения возможности лекарственной терапии бета-адреноблокатором и/или верапамилом** у отдельных пациентов с ГД в ВТЛЖ (в покое или максимальным провоцируемым)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 мм рт. ст., синусовым ритмом, симптомами, рефрактерными к лекарственной терапии, имеющими противопоказания к САА или СМЭ/РМЭ, или высокий риск развития АВ-блокады в результате САА или СМЭ/РМЭ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248">
        <w:r>
          <w:rPr>
            <w:color w:val="0000FF"/>
          </w:rPr>
          <w:t>214</w:t>
        </w:r>
      </w:hyperlink>
      <w:r>
        <w:t xml:space="preserve">, </w:t>
      </w:r>
      <w:hyperlink w:anchor="P1266">
        <w:r>
          <w:rPr>
            <w:color w:val="0000FF"/>
          </w:rPr>
          <w:t>232</w:t>
        </w:r>
      </w:hyperlink>
      <w:r>
        <w:t xml:space="preserve">, </w:t>
      </w:r>
      <w:hyperlink w:anchor="P1339">
        <w:r>
          <w:rPr>
            <w:color w:val="0000FF"/>
          </w:rPr>
          <w:t>305</w:t>
        </w:r>
      </w:hyperlink>
      <w:r>
        <w:t xml:space="preserve">, </w:t>
      </w:r>
      <w:hyperlink w:anchor="P1340">
        <w:r>
          <w:rPr>
            <w:color w:val="0000FF"/>
          </w:rPr>
          <w:t>306</w:t>
        </w:r>
      </w:hyperlink>
      <w:r>
        <w:t xml:space="preserve">, </w:t>
      </w:r>
      <w:hyperlink w:anchor="P1342">
        <w:r>
          <w:rPr>
            <w:color w:val="0000FF"/>
          </w:rPr>
          <w:t>308</w:t>
        </w:r>
      </w:hyperlink>
      <w:r>
        <w:t xml:space="preserve">, </w:t>
      </w:r>
      <w:hyperlink w:anchor="P1344">
        <w:r>
          <w:rPr>
            <w:color w:val="0000FF"/>
          </w:rPr>
          <w:t>310</w:t>
        </w:r>
      </w:hyperlink>
      <w:r>
        <w:t xml:space="preserve">, </w:t>
      </w:r>
      <w:hyperlink w:anchor="P1447">
        <w:r>
          <w:rPr>
            <w:color w:val="0000FF"/>
          </w:rPr>
          <w:t>413</w:t>
        </w:r>
      </w:hyperlink>
      <w:r>
        <w:t xml:space="preserve"> - </w:t>
      </w:r>
      <w:hyperlink w:anchor="P1449">
        <w:r>
          <w:rPr>
            <w:color w:val="0000FF"/>
          </w:rPr>
          <w:t>415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2 УУР </w:t>
      </w:r>
      <w:hyperlink w:anchor="P1559">
        <w:r>
          <w:rPr>
            <w:color w:val="0000FF"/>
          </w:rPr>
          <w:t>B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суть метода состоит в изменении последовательности распространения волны возбуждения - сокращение охватывает вначале верхушку желудочков, а затем МЖП, что приводит к уменьшению субаортального ГД благодаря запаздыванию и снижению регионарной сократимости МЖП и, как следствие, расширению ВТЛЖ. Этому способствует также запаздывание </w:t>
      </w:r>
      <w:r>
        <w:lastRenderedPageBreak/>
        <w:t>систолического движения кпереди передней створки МК и уменьшение его амплитуды. Важное значение имеет подбор наименьшей величины времени задержки нанесения желудочкового импульса после предсердного, которая обеспечивает преждевременную деполяризацию верхушки сердца, не приводя при этом к ухудшению внутрисердечной и центральной гемодинамики (сердечного выброса и АД).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ряде случаев приходится прибегать к удлинению времени спонтанной АВ-проводимости с помощью терапии бета-адреноблокатором или верапамилом** и даже аблации АВ-узла.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Инвазивные методы лечения ФП пациентов с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Рекомендовано рассмотреть возможность проведения радиочастотной аблации очага ФП пациентам с ГКМП, если ФП не может быть предотвращена антиаритмической терапией, или частота желудочковых сокращений не контролируется лекарственными препаратами, или ассоциирована с непереносимыми побочными действиями лекарственных препаратов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5">
        <w:r>
          <w:rPr>
            <w:color w:val="0000FF"/>
          </w:rPr>
          <w:t>111</w:t>
        </w:r>
      </w:hyperlink>
      <w:r>
        <w:t xml:space="preserve">, </w:t>
      </w:r>
      <w:hyperlink w:anchor="P1165">
        <w:r>
          <w:rPr>
            <w:color w:val="0000FF"/>
          </w:rPr>
          <w:t>131</w:t>
        </w:r>
      </w:hyperlink>
      <w:r>
        <w:t xml:space="preserve">,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363">
        <w:r>
          <w:rPr>
            <w:color w:val="0000FF"/>
          </w:rPr>
          <w:t>329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, </w:t>
      </w:r>
      <w:hyperlink w:anchor="P1394">
        <w:r>
          <w:rPr>
            <w:color w:val="0000FF"/>
          </w:rPr>
          <w:t>360</w:t>
        </w:r>
      </w:hyperlink>
      <w:r>
        <w:t xml:space="preserve">, </w:t>
      </w:r>
      <w:hyperlink w:anchor="P1398">
        <w:r>
          <w:rPr>
            <w:color w:val="0000FF"/>
          </w:rPr>
          <w:t>364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Имплантация двухкамерного (DDD) электрокардиостимулятора*** с функцией переключения режима (после аблации АВ-узла у пациентов ГКМП с ФВ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50%), рекомендуется при наличии пароксизмальной ФП, и однокамерного (VVIR) - при наличии персистирующей или постоянной формы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266">
        <w:r>
          <w:rPr>
            <w:color w:val="0000FF"/>
          </w:rPr>
          <w:t>232</w:t>
        </w:r>
      </w:hyperlink>
      <w:r>
        <w:t xml:space="preserve">, </w:t>
      </w:r>
      <w:hyperlink w:anchor="P1339">
        <w:r>
          <w:rPr>
            <w:color w:val="0000FF"/>
          </w:rPr>
          <w:t>305</w:t>
        </w:r>
      </w:hyperlink>
      <w:r>
        <w:t xml:space="preserve">, </w:t>
      </w:r>
      <w:hyperlink w:anchor="P1339">
        <w:r>
          <w:rPr>
            <w:color w:val="0000FF"/>
          </w:rPr>
          <w:t>314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, </w:t>
      </w:r>
      <w:hyperlink w:anchor="P1394">
        <w:r>
          <w:rPr>
            <w:color w:val="0000FF"/>
          </w:rPr>
          <w:t>360</w:t>
        </w:r>
      </w:hyperlink>
      <w:r>
        <w:t xml:space="preserve">, </w:t>
      </w:r>
      <w:hyperlink w:anchor="P1398">
        <w:r>
          <w:rPr>
            <w:color w:val="0000FF"/>
          </w:rPr>
          <w:t>364</w:t>
        </w:r>
      </w:hyperlink>
      <w:r>
        <w:t xml:space="preserve">, </w:t>
      </w:r>
      <w:hyperlink w:anchor="P1075">
        <w:r>
          <w:rPr>
            <w:color w:val="0000FF"/>
          </w:rPr>
          <w:t>41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ГКМП, осложненной любой формой ФП, и ФВ &lt; 50% после аблации АВ-узла и при наличии показаний к сердечной ресинхронизирующей терапии рекомендовано рассмотреть возможность имплантации трехкамерного (бивентрикулярного) ЭКС***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54">
        <w:r>
          <w:rPr>
            <w:color w:val="0000FF"/>
          </w:rPr>
          <w:t>20</w:t>
        </w:r>
      </w:hyperlink>
      <w:r>
        <w:t xml:space="preserve">, </w:t>
      </w:r>
      <w:hyperlink w:anchor="P1164">
        <w:r>
          <w:rPr>
            <w:color w:val="0000FF"/>
          </w:rPr>
          <w:t>130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, </w:t>
      </w:r>
      <w:hyperlink w:anchor="P1398">
        <w:r>
          <w:rPr>
            <w:color w:val="0000FF"/>
          </w:rPr>
          <w:t>364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Рекомендовано рассмотреть возможность аблации очага ФП во время СМЭ/РМЭ у пациентов с ГКМП, осложненной симптомной ФП при наличии показаний и отсутствии противопоказаний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393">
        <w:r>
          <w:rPr>
            <w:color w:val="0000FF"/>
          </w:rPr>
          <w:t>359</w:t>
        </w:r>
      </w:hyperlink>
      <w:r>
        <w:t xml:space="preserve">, </w:t>
      </w:r>
      <w:hyperlink w:anchor="P1398">
        <w:r>
          <w:rPr>
            <w:color w:val="0000FF"/>
          </w:rPr>
          <w:t>364</w:t>
        </w:r>
      </w:hyperlink>
      <w:r>
        <w:t xml:space="preserve">, </w:t>
      </w:r>
      <w:hyperlink w:anchor="P1451">
        <w:r>
          <w:rPr>
            <w:color w:val="0000FF"/>
          </w:rPr>
          <w:t>417</w:t>
        </w:r>
      </w:hyperlink>
      <w:r>
        <w:t xml:space="preserve"> - </w:t>
      </w:r>
      <w:hyperlink w:anchor="P1454">
        <w:r>
          <w:rPr>
            <w:color w:val="0000FF"/>
          </w:rPr>
          <w:t>420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Радиочастотная аблация ФП у пациентов с ГКМП менее успешна, чем без ГКМП.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Предикторами неэффективности лечения ФП при ГКМП являются: дилатация ЛП, обструкция ВТЛЖ, длительность и тип ФП.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 и ФП чаще требуются проведение повторных процедур. Ремоделирование предсердий, зависимое от ГКМП, может повлиять на исход, даже если процедура изначально успешна.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Операция Cox-Maze ("Лабиринт") либо ее модификации с применением радиочастотной и крио-аблации представляется целесообразной как сопутствующая при СМЭ/РМЭ или протезировании митрального клапана у пациентов с ГКМП, осложненной ФП, рефрактерной к фармакотерапии.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ACCF/AHA (2011) рекомендуют операцию "Лабиринт" у отдельных пациентов с ФП как сопутствующую при СМЭ/РМЭ или протезировании МК (уровень IIaC). В рекомендациях ESC такой </w:t>
      </w:r>
      <w:r>
        <w:lastRenderedPageBreak/>
        <w:t>рекомендации нет.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Если операция "Лабиринт" показана, то выполняться она должна как сопутствующая, после консилиума мультидисциплинарной командой, хирургом, имеющим опыт выполнения подобного вмешательства.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В центрах, использующих операцию "лабиринт" (модификация III и IV), отмечают, что у пациентов с ГКМП это дополнительное при СМЭ/РМЭ вмешательство является безопасным и эффективным.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Рекомендации по сердечной ресинхронизирующей терапии у пациентов с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ГКМП, максимальным ГД в ВТЛЖ &lt; 30 мм рт. ст., ХСН II - IV ФК по NYHA, ФВЛЖ &lt; 50% и БЛНПГ с длительностью QRS &gt; 120 мс рекомендовано рассмотреть возможность сердечной ресинхронизирующей терапии для улучшения симптоматики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54">
        <w:r>
          <w:rPr>
            <w:color w:val="0000FF"/>
          </w:rPr>
          <w:t>20</w:t>
        </w:r>
      </w:hyperlink>
      <w:r>
        <w:t xml:space="preserve">, </w:t>
      </w:r>
      <w:hyperlink w:anchor="P1164">
        <w:r>
          <w:rPr>
            <w:color w:val="0000FF"/>
          </w:rPr>
          <w:t>130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Рекомендации по практическим аспектам имплантации кардиовертера-дефибриллятора***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Алгоритм первичной и вторичной профилактики ВСС у пациентов с ГКМП представлен в таблице </w:t>
      </w:r>
      <w:hyperlink w:anchor="P1739">
        <w:r>
          <w:rPr>
            <w:color w:val="0000FF"/>
          </w:rPr>
          <w:t>Приложение Б7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Шкала оценки риска ВСС у пациентов с ГКМП (европейская модель) представлена в </w:t>
      </w:r>
      <w:hyperlink w:anchor="P2261">
        <w:r>
          <w:rPr>
            <w:color w:val="0000FF"/>
          </w:rPr>
          <w:t>таблице П2</w:t>
        </w:r>
      </w:hyperlink>
      <w:r>
        <w:t>, приложение Г2.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Шкала оценки риска ВСС у пациентов с ГКМП (американская модель) представлена в </w:t>
      </w:r>
      <w:hyperlink w:anchor="P2294">
        <w:r>
          <w:rPr>
            <w:color w:val="0000FF"/>
          </w:rPr>
          <w:t>таблице П3</w:t>
        </w:r>
      </w:hyperlink>
      <w:r>
        <w:t>, приложение Г2.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Рекомендуется имплантация ИКД*** у пациентов с ГКМП, перенесших остановку сердца по причине ЖТ или ФЖ, или у пациентов со спонтанной устойчивой ЖТ, приводящей к потере сознания или нарушения гемодинамики, при ожидаемой продолжительности жизни &gt; 1 года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6">
        <w:r>
          <w:rPr>
            <w:color w:val="0000FF"/>
          </w:rPr>
          <w:t>112</w:t>
        </w:r>
      </w:hyperlink>
      <w:r>
        <w:t xml:space="preserve">, </w:t>
      </w:r>
      <w:hyperlink w:anchor="P1147">
        <w:r>
          <w:rPr>
            <w:color w:val="0000FF"/>
          </w:rPr>
          <w:t>113</w:t>
        </w:r>
      </w:hyperlink>
      <w:r>
        <w:t xml:space="preserve">, </w:t>
      </w:r>
      <w:hyperlink w:anchor="P1149">
        <w:r>
          <w:rPr>
            <w:color w:val="0000FF"/>
          </w:rPr>
          <w:t>115</w:t>
        </w:r>
      </w:hyperlink>
      <w:r>
        <w:t xml:space="preserve"> - </w:t>
      </w:r>
      <w:hyperlink w:anchor="P1155">
        <w:r>
          <w:rPr>
            <w:color w:val="0000FF"/>
          </w:rPr>
          <w:t>121</w:t>
        </w:r>
      </w:hyperlink>
      <w:r>
        <w:t xml:space="preserve">, </w:t>
      </w:r>
      <w:hyperlink w:anchor="P1159">
        <w:r>
          <w:rPr>
            <w:color w:val="0000FF"/>
          </w:rPr>
          <w:t>125</w:t>
        </w:r>
      </w:hyperlink>
      <w:r>
        <w:t xml:space="preserve">, </w:t>
      </w:r>
      <w:hyperlink w:anchor="P1223">
        <w:r>
          <w:rPr>
            <w:color w:val="0000FF"/>
          </w:rPr>
          <w:t>189</w:t>
        </w:r>
      </w:hyperlink>
      <w:r>
        <w:t xml:space="preserve">, </w:t>
      </w:r>
      <w:hyperlink w:anchor="P1241">
        <w:r>
          <w:rPr>
            <w:color w:val="0000FF"/>
          </w:rPr>
          <w:t>207</w:t>
        </w:r>
      </w:hyperlink>
      <w:r>
        <w:t xml:space="preserve">, </w:t>
      </w:r>
      <w:hyperlink w:anchor="P1244">
        <w:r>
          <w:rPr>
            <w:color w:val="0000FF"/>
          </w:rPr>
          <w:t>210</w:t>
        </w:r>
      </w:hyperlink>
      <w:r>
        <w:t xml:space="preserve">, </w:t>
      </w:r>
      <w:hyperlink w:anchor="P1293">
        <w:r>
          <w:rPr>
            <w:color w:val="0000FF"/>
          </w:rPr>
          <w:t>259</w:t>
        </w:r>
      </w:hyperlink>
      <w:r>
        <w:t xml:space="preserve">, </w:t>
      </w:r>
      <w:hyperlink w:anchor="P1294">
        <w:r>
          <w:rPr>
            <w:color w:val="0000FF"/>
          </w:rPr>
          <w:t>260</w:t>
        </w:r>
      </w:hyperlink>
      <w:r>
        <w:t xml:space="preserve">, </w:t>
      </w:r>
      <w:hyperlink w:anchor="P1299">
        <w:r>
          <w:rPr>
            <w:color w:val="0000FF"/>
          </w:rPr>
          <w:t>265</w:t>
        </w:r>
      </w:hyperlink>
      <w:r>
        <w:t xml:space="preserve">, </w:t>
      </w:r>
      <w:hyperlink w:anchor="P1334">
        <w:r>
          <w:rPr>
            <w:color w:val="0000FF"/>
          </w:rPr>
          <w:t>300</w:t>
        </w:r>
      </w:hyperlink>
      <w:r>
        <w:t xml:space="preserve">, </w:t>
      </w:r>
      <w:hyperlink w:anchor="P1357">
        <w:r>
          <w:rPr>
            <w:color w:val="0000FF"/>
          </w:rPr>
          <w:t>323</w:t>
        </w:r>
      </w:hyperlink>
      <w:r>
        <w:t xml:space="preserve">, </w:t>
      </w:r>
      <w:hyperlink w:anchor="P1455">
        <w:r>
          <w:rPr>
            <w:color w:val="0000FF"/>
          </w:rPr>
          <w:t>421</w:t>
        </w:r>
      </w:hyperlink>
      <w:r>
        <w:t xml:space="preserve"> - </w:t>
      </w:r>
      <w:hyperlink w:anchor="P1457">
        <w:r>
          <w:rPr>
            <w:color w:val="0000FF"/>
          </w:rPr>
          <w:t>423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Для верификации аритмии в отдельных случаях может выполняться инвазивное электрофизиологическое исследование.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Пятилетний риск внезапной смерти необходимо оценивать при первоначальном обследовании пациента, а также каждые 1 - 2 года или при изменении клинического статуса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9">
        <w:r>
          <w:rPr>
            <w:color w:val="0000FF"/>
          </w:rPr>
          <w:t>115</w:t>
        </w:r>
      </w:hyperlink>
      <w:r>
        <w:t xml:space="preserve">, </w:t>
      </w:r>
      <w:hyperlink w:anchor="P1205">
        <w:r>
          <w:rPr>
            <w:color w:val="0000FF"/>
          </w:rPr>
          <w:t>171</w:t>
        </w:r>
      </w:hyperlink>
      <w:r>
        <w:t xml:space="preserve">, </w:t>
      </w:r>
      <w:hyperlink w:anchor="P1215">
        <w:r>
          <w:rPr>
            <w:color w:val="0000FF"/>
          </w:rPr>
          <w:t>181</w:t>
        </w:r>
      </w:hyperlink>
      <w:r>
        <w:t xml:space="preserve">, </w:t>
      </w:r>
      <w:hyperlink w:anchor="P1334">
        <w:r>
          <w:rPr>
            <w:color w:val="0000FF"/>
          </w:rPr>
          <w:t>300</w:t>
        </w:r>
      </w:hyperlink>
      <w:r>
        <w:t xml:space="preserve">, </w:t>
      </w:r>
      <w:hyperlink w:anchor="P1357">
        <w:r>
          <w:rPr>
            <w:color w:val="0000FF"/>
          </w:rPr>
          <w:t>323</w:t>
        </w:r>
      </w:hyperlink>
      <w:r>
        <w:t xml:space="preserve">, </w:t>
      </w:r>
      <w:hyperlink w:anchor="P1458">
        <w:r>
          <w:rPr>
            <w:color w:val="0000FF"/>
          </w:rPr>
          <w:t>424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Имплантация ИКД*** рекомендуется пациентам с предполагаемым 5-летним риском внезапной смерти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6% и ожидаемой продолжительностью жизни &gt; 1 года после подробного клинического обследования с оценкой риска последующих осложнений и влияния ИКД*** на образ жизни, социально-экономический статус и психологическое здоровье [</w:t>
      </w:r>
      <w:hyperlink w:anchor="P1149">
        <w:r>
          <w:rPr>
            <w:color w:val="0000FF"/>
          </w:rPr>
          <w:t>115</w:t>
        </w:r>
      </w:hyperlink>
      <w:r>
        <w:t xml:space="preserve">, </w:t>
      </w:r>
      <w:hyperlink w:anchor="P1215">
        <w:r>
          <w:rPr>
            <w:color w:val="0000FF"/>
          </w:rPr>
          <w:t>181</w:t>
        </w:r>
      </w:hyperlink>
      <w:r>
        <w:t xml:space="preserve">, </w:t>
      </w:r>
      <w:hyperlink w:anchor="P1223">
        <w:r>
          <w:rPr>
            <w:color w:val="0000FF"/>
          </w:rPr>
          <w:t>189</w:t>
        </w:r>
      </w:hyperlink>
      <w:r>
        <w:t xml:space="preserve">, </w:t>
      </w:r>
      <w:hyperlink w:anchor="P1234">
        <w:r>
          <w:rPr>
            <w:color w:val="0000FF"/>
          </w:rPr>
          <w:t>200</w:t>
        </w:r>
      </w:hyperlink>
      <w:r>
        <w:t xml:space="preserve">, </w:t>
      </w:r>
      <w:hyperlink w:anchor="P1235">
        <w:r>
          <w:rPr>
            <w:color w:val="0000FF"/>
          </w:rPr>
          <w:t>201</w:t>
        </w:r>
      </w:hyperlink>
      <w:r>
        <w:t xml:space="preserve">, </w:t>
      </w:r>
      <w:hyperlink w:anchor="P1334">
        <w:r>
          <w:rPr>
            <w:color w:val="0000FF"/>
          </w:rPr>
          <w:t>300</w:t>
        </w:r>
      </w:hyperlink>
      <w:r>
        <w:t xml:space="preserve">, </w:t>
      </w:r>
      <w:hyperlink w:anchor="P1357">
        <w:r>
          <w:rPr>
            <w:color w:val="0000FF"/>
          </w:rPr>
          <w:t>323</w:t>
        </w:r>
      </w:hyperlink>
      <w:r>
        <w:t xml:space="preserve">, </w:t>
      </w:r>
      <w:hyperlink w:anchor="P1455">
        <w:r>
          <w:rPr>
            <w:color w:val="0000FF"/>
          </w:rPr>
          <w:t>421</w:t>
        </w:r>
      </w:hyperlink>
      <w:r>
        <w:t xml:space="preserve">, </w:t>
      </w:r>
      <w:hyperlink w:anchor="P1458">
        <w:r>
          <w:rPr>
            <w:color w:val="0000FF"/>
          </w:rPr>
          <w:t>424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IIaB (УДД 3 УУР </w:t>
      </w:r>
      <w:hyperlink w:anchor="P1557">
        <w:r>
          <w:rPr>
            <w:color w:val="0000FF"/>
          </w:rPr>
          <w:t>A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Рекомендовано рассмотреть возможность имплантации ИКД*** в отдельных группах пациентов с 5-летним риском ВСС от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4 до &lt; 6% и ожидаемой продолжительностью жизни &gt; 1 </w:t>
      </w:r>
      <w:r>
        <w:lastRenderedPageBreak/>
        <w:t>года после подробного клинического обследования с оценкой риска последующих осложнений и влияния ИКД*** на образ жизни, социально-экономический статус и психологическое здоровье [</w:t>
      </w:r>
      <w:hyperlink w:anchor="P1149">
        <w:r>
          <w:rPr>
            <w:color w:val="0000FF"/>
          </w:rPr>
          <w:t>115</w:t>
        </w:r>
      </w:hyperlink>
      <w:r>
        <w:t xml:space="preserve">, </w:t>
      </w:r>
      <w:hyperlink w:anchor="P1205">
        <w:r>
          <w:rPr>
            <w:color w:val="0000FF"/>
          </w:rPr>
          <w:t>171</w:t>
        </w:r>
      </w:hyperlink>
      <w:r>
        <w:t xml:space="preserve">, </w:t>
      </w:r>
      <w:hyperlink w:anchor="P1223">
        <w:r>
          <w:rPr>
            <w:color w:val="0000FF"/>
          </w:rPr>
          <w:t>189</w:t>
        </w:r>
      </w:hyperlink>
      <w:r>
        <w:t xml:space="preserve">, </w:t>
      </w:r>
      <w:hyperlink w:anchor="P1215">
        <w:r>
          <w:rPr>
            <w:color w:val="0000FF"/>
          </w:rPr>
          <w:t>181</w:t>
        </w:r>
      </w:hyperlink>
      <w:r>
        <w:t xml:space="preserve">, </w:t>
      </w:r>
      <w:hyperlink w:anchor="P1357">
        <w:r>
          <w:rPr>
            <w:color w:val="0000FF"/>
          </w:rPr>
          <w:t>323</w:t>
        </w:r>
      </w:hyperlink>
      <w:r>
        <w:t xml:space="preserve">, </w:t>
      </w:r>
      <w:hyperlink w:anchor="P1458">
        <w:r>
          <w:rPr>
            <w:color w:val="0000FF"/>
          </w:rPr>
          <w:t>424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Рекомендуется рассмотреть возможность имплантации ИКД*** у отдельных пациентов с 5-летним риском ВСС &lt; 4% при наличии клинических характеристик с доказанным прогностическим значением, и в случаях, когда в результате оценки риска последующих осложнений и влияния ИКД*** на образ жизни, социально-экономический статус и психологическое здоровье предполагается общее положительное влияние имплантации ИКД***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18">
        <w:r>
          <w:rPr>
            <w:color w:val="0000FF"/>
          </w:rPr>
          <w:t>84</w:t>
        </w:r>
      </w:hyperlink>
      <w:r>
        <w:t xml:space="preserve">, </w:t>
      </w:r>
      <w:hyperlink w:anchor="P1149">
        <w:r>
          <w:rPr>
            <w:color w:val="0000FF"/>
          </w:rPr>
          <w:t>115</w:t>
        </w:r>
      </w:hyperlink>
      <w:r>
        <w:t xml:space="preserve">, </w:t>
      </w:r>
      <w:hyperlink w:anchor="P1215">
        <w:r>
          <w:rPr>
            <w:color w:val="0000FF"/>
          </w:rPr>
          <w:t>181</w:t>
        </w:r>
      </w:hyperlink>
      <w:r>
        <w:t xml:space="preserve">, </w:t>
      </w:r>
      <w:hyperlink w:anchor="P1223">
        <w:r>
          <w:rPr>
            <w:color w:val="0000FF"/>
          </w:rPr>
          <w:t>189</w:t>
        </w:r>
      </w:hyperlink>
      <w:r>
        <w:t xml:space="preserve">, </w:t>
      </w:r>
      <w:hyperlink w:anchor="P1234">
        <w:r>
          <w:rPr>
            <w:color w:val="0000FF"/>
          </w:rPr>
          <w:t>200</w:t>
        </w:r>
      </w:hyperlink>
      <w:r>
        <w:t xml:space="preserve">, </w:t>
      </w:r>
      <w:hyperlink w:anchor="P1235">
        <w:r>
          <w:rPr>
            <w:color w:val="0000FF"/>
          </w:rPr>
          <w:t>201</w:t>
        </w:r>
      </w:hyperlink>
      <w:r>
        <w:t xml:space="preserve">, </w:t>
      </w:r>
      <w:hyperlink w:anchor="P1262">
        <w:r>
          <w:rPr>
            <w:color w:val="0000FF"/>
          </w:rPr>
          <w:t>228</w:t>
        </w:r>
      </w:hyperlink>
      <w:r>
        <w:t xml:space="preserve">, </w:t>
      </w:r>
      <w:hyperlink w:anchor="P1357">
        <w:r>
          <w:rPr>
            <w:color w:val="0000FF"/>
          </w:rPr>
          <w:t>323</w:t>
        </w:r>
      </w:hyperlink>
      <w:r>
        <w:t xml:space="preserve">, </w:t>
      </w:r>
      <w:hyperlink w:anchor="P1458">
        <w:r>
          <w:rPr>
            <w:color w:val="0000FF"/>
          </w:rPr>
          <w:t>424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американская модель позволяет оценивать риск ВСС у пациентов с низким/средним риском.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Последние литературные данные показывают, что наличие распространенного фиброза, оцениваемого по ПНГ при МРТ (&gt; 15%) является предиктором риска ВСС при ГКМП. Этот показатель не входит в европейскую модель стратификации риска, однако если у пациента низкий или средний риск ВСС (&lt; 6%), а при МРТ площадь фиброза &gt; 15% - это является дополнительным аргументом в пользу имплантации ИКД*** [</w:t>
      </w:r>
      <w:hyperlink w:anchor="P1149">
        <w:r>
          <w:rPr>
            <w:color w:val="0000FF"/>
          </w:rPr>
          <w:t>115</w:t>
        </w:r>
      </w:hyperlink>
      <w:r>
        <w:t xml:space="preserve">, </w:t>
      </w:r>
      <w:hyperlink w:anchor="P1262">
        <w:r>
          <w:rPr>
            <w:color w:val="0000FF"/>
          </w:rPr>
          <w:t>228</w:t>
        </w:r>
      </w:hyperlink>
      <w:r>
        <w:t xml:space="preserve">, </w:t>
      </w:r>
      <w:hyperlink w:anchor="P1265">
        <w:r>
          <w:rPr>
            <w:color w:val="0000FF"/>
          </w:rPr>
          <w:t>231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Рекомендации по имплантации вспомогательных левожелудочковых устройств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Рекомендуется рассмотреть возможность терапии путем имплантации устройств механической поддержки кровообращения на период нахождения в листе ожидания для некоторых пациентов с терминальной стадией ХСН, которые могут рассматриваться как кандидаты для трансплантации сердца [</w:t>
      </w:r>
      <w:hyperlink w:anchor="P1245">
        <w:r>
          <w:rPr>
            <w:color w:val="0000FF"/>
          </w:rPr>
          <w:t>211</w:t>
        </w:r>
      </w:hyperlink>
      <w:r>
        <w:t xml:space="preserve">, </w:t>
      </w:r>
      <w:hyperlink w:anchor="P1287">
        <w:r>
          <w:rPr>
            <w:color w:val="0000FF"/>
          </w:rPr>
          <w:t>253</w:t>
        </w:r>
      </w:hyperlink>
      <w:r>
        <w:t xml:space="preserve">, </w:t>
      </w:r>
      <w:hyperlink w:anchor="P1459">
        <w:r>
          <w:rPr>
            <w:color w:val="0000FF"/>
          </w:rPr>
          <w:t>425</w:t>
        </w:r>
      </w:hyperlink>
      <w:r>
        <w:t xml:space="preserve">, </w:t>
      </w:r>
      <w:hyperlink w:anchor="P1460">
        <w:r>
          <w:rPr>
            <w:color w:val="0000FF"/>
          </w:rPr>
          <w:t>426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в мировой практике 50% операций по пересадке сердца выполняются на фоне предшествующей имплантации устройств механической поддержки кровообращения </w:t>
      </w:r>
      <w:hyperlink w:anchor="P1287">
        <w:r>
          <w:rPr>
            <w:color w:val="0000FF"/>
          </w:rPr>
          <w:t>[253]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Трансплантация сердца у пациентов с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Ортотопическая трансплантация сердца рекомендована для пациентов с ГКМП, имеющих ФВЛЖ &lt; 50% и симптомы III - IV ФК по NYHA, или неустранимые желудочковые аритмии, несмотря на оптимальную терапию при наличии показаний и отсутствие противопоказаний для трансплантации [</w:t>
      </w:r>
      <w:hyperlink w:anchor="P1131">
        <w:r>
          <w:rPr>
            <w:color w:val="0000FF"/>
          </w:rPr>
          <w:t>97</w:t>
        </w:r>
      </w:hyperlink>
      <w:r>
        <w:t xml:space="preserve">, </w:t>
      </w:r>
      <w:hyperlink w:anchor="P1132">
        <w:r>
          <w:rPr>
            <w:color w:val="0000FF"/>
          </w:rPr>
          <w:t>98</w:t>
        </w:r>
      </w:hyperlink>
      <w:r>
        <w:t xml:space="preserve">, </w:t>
      </w:r>
      <w:hyperlink w:anchor="P1202">
        <w:r>
          <w:rPr>
            <w:color w:val="0000FF"/>
          </w:rPr>
          <w:t>168</w:t>
        </w:r>
      </w:hyperlink>
      <w:r>
        <w:t xml:space="preserve">, </w:t>
      </w:r>
      <w:hyperlink w:anchor="P1287">
        <w:r>
          <w:rPr>
            <w:color w:val="0000FF"/>
          </w:rPr>
          <w:t>253</w:t>
        </w:r>
      </w:hyperlink>
      <w:r>
        <w:t xml:space="preserve">, </w:t>
      </w:r>
      <w:hyperlink w:anchor="P1289">
        <w:r>
          <w:rPr>
            <w:color w:val="0000FF"/>
          </w:rPr>
          <w:t>255</w:t>
        </w:r>
      </w:hyperlink>
      <w:r>
        <w:t xml:space="preserve">, </w:t>
      </w:r>
      <w:hyperlink w:anchor="P1291">
        <w:r>
          <w:rPr>
            <w:color w:val="0000FF"/>
          </w:rPr>
          <w:t>257</w:t>
        </w:r>
      </w:hyperlink>
      <w:r>
        <w:t xml:space="preserve">, </w:t>
      </w:r>
      <w:hyperlink w:anchor="P1459">
        <w:r>
          <w:rPr>
            <w:color w:val="0000FF"/>
          </w:rPr>
          <w:t>425</w:t>
        </w:r>
      </w:hyperlink>
      <w:r>
        <w:t xml:space="preserve">, </w:t>
      </w:r>
      <w:hyperlink w:anchor="P1461">
        <w:r>
          <w:rPr>
            <w:color w:val="0000FF"/>
          </w:rPr>
          <w:t>427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описана трансформация ГКМП в смешанный фенотип (ГКМП + ДКМП), согласно классификации MOGE(s), так называемая дилатационная стадия ГКМП </w:t>
      </w:r>
      <w:hyperlink w:anchor="P1077">
        <w:r>
          <w:rPr>
            <w:color w:val="0000FF"/>
          </w:rPr>
          <w:t>[43]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Трансплантация сердца может быть жизненно важной стратегией лечения при ГКМП в конечной стадии заболевания.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Плохой краткосрочный прогноз у пациентов с дилатационной стадией ГКМП предполагает целесообразность более раннего рассмотрения агрессивных методов лечения, поскольку "окно возможностей" может быть небольшим, особенно у пациентов с семейным анамнезом развития дилатационной стадии ГКМП.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 xml:space="preserve">Заключение, что у пациента развивается дилатация ЛЖ, следует основывать на динамике размеров ЛЖ. Даже "нормальные" размеры ЛЖ могут означать "дилатационную стадию", например, в динамике КДРлж 35 мм </w:t>
      </w:r>
      <w:r>
        <w:rPr>
          <w:noProof/>
          <w:position w:val="-1"/>
        </w:rPr>
        <w:drawing>
          <wp:inline distT="0" distB="0" distL="0" distR="0">
            <wp:extent cx="209550" cy="157480"/>
            <wp:effectExtent l="0" t="0" r="0" b="0"/>
            <wp:docPr id="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5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55 мм (при условии корректного измерения).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Посттрансплантационная выживаемость у пациентов с ГКМП сходна с таковой при трансплантации сердца по другим поводам [</w:t>
      </w:r>
      <w:hyperlink w:anchor="P1289">
        <w:r>
          <w:rPr>
            <w:color w:val="0000FF"/>
          </w:rPr>
          <w:t>255</w:t>
        </w:r>
      </w:hyperlink>
      <w:r>
        <w:t xml:space="preserve">, </w:t>
      </w:r>
      <w:hyperlink w:anchor="P1291">
        <w:r>
          <w:rPr>
            <w:color w:val="0000FF"/>
          </w:rPr>
          <w:t>257</w:t>
        </w:r>
      </w:hyperlink>
      <w:r>
        <w:t xml:space="preserve">, </w:t>
      </w:r>
      <w:hyperlink w:anchor="P1459">
        <w:r>
          <w:rPr>
            <w:color w:val="0000FF"/>
          </w:rPr>
          <w:t>425</w:t>
        </w:r>
      </w:hyperlink>
      <w:r>
        <w:t xml:space="preserve">, </w:t>
      </w:r>
      <w:hyperlink w:anchor="P1461">
        <w:r>
          <w:rPr>
            <w:color w:val="0000FF"/>
          </w:rPr>
          <w:t>427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Рекомендовано рассмотреть возможность ортотопической трансплантации сердца для пациентов с ФВ ЛЖ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50% и симптомами ХСН III - IV ФК (NYHA), вызванной диастолической дисфункцией, резистентной к лекарственной терапии при наличии показаний и отсутствии противопоказаний для трансплантации [</w:t>
      </w:r>
      <w:hyperlink w:anchor="P1131">
        <w:r>
          <w:rPr>
            <w:color w:val="0000FF"/>
          </w:rPr>
          <w:t>97</w:t>
        </w:r>
      </w:hyperlink>
      <w:r>
        <w:t xml:space="preserve">, </w:t>
      </w:r>
      <w:hyperlink w:anchor="P1132">
        <w:r>
          <w:rPr>
            <w:color w:val="0000FF"/>
          </w:rPr>
          <w:t>98</w:t>
        </w:r>
      </w:hyperlink>
      <w:r>
        <w:t xml:space="preserve">, </w:t>
      </w:r>
      <w:hyperlink w:anchor="P1202">
        <w:r>
          <w:rPr>
            <w:color w:val="0000FF"/>
          </w:rPr>
          <w:t>168</w:t>
        </w:r>
      </w:hyperlink>
      <w:r>
        <w:t xml:space="preserve">, </w:t>
      </w:r>
      <w:hyperlink w:anchor="P1287">
        <w:r>
          <w:rPr>
            <w:color w:val="0000FF"/>
          </w:rPr>
          <w:t>253</w:t>
        </w:r>
      </w:hyperlink>
      <w:r>
        <w:t xml:space="preserve">, </w:t>
      </w:r>
      <w:hyperlink w:anchor="P1459">
        <w:r>
          <w:rPr>
            <w:color w:val="0000FF"/>
          </w:rPr>
          <w:t>425</w:t>
        </w:r>
      </w:hyperlink>
      <w:r>
        <w:t xml:space="preserve">, </w:t>
      </w:r>
      <w:hyperlink w:anchor="P1461">
        <w:r>
          <w:rPr>
            <w:color w:val="0000FF"/>
          </w:rPr>
          <w:t>427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IIIB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кроме дилатационной стадии, при ГКМП тяжелая степень ХСН может наблюдаться при другом варианте негативного ремоделирования - смешанном фенотипе (ГКМП + РКМП).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Итоговый алгоритм врачебной тактики в зависимости от стадии ГКМП и варианта клинического течения представлен в </w:t>
      </w:r>
      <w:hyperlink w:anchor="P1761">
        <w:r>
          <w:rPr>
            <w:color w:val="0000FF"/>
          </w:rPr>
          <w:t>Приложении Б9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3.3 Беременность и роды у пациенток с ГКМП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Изменения гемодинамики при беременности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Беременность, как правило, существенно не усугубляет гемодинамические расстройства при ГКМП, поэтому исходно бессимптомные и малосимптомные пациентки с ГКМП переносят беременность хорошо. Однако у некоторых пациенток гемодинамические и нейрогуморальные факторы гестационного периода могут провоцировать развитие нарушений ритма и ХСН.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У беременных с обструктивной формой ГКМП степень обструкции ВТЛЖ может как увеличиться (из-за обычного для беременности увеличения УО, ЧСС, небольшого снижения АД вследствие снижения общего периферического сопротивления), так и снизиться (из-за небольшого увеличения диастолического размера ЛЖ и увеличения диаметра ВТЛЖ)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 xml:space="preserve"> - </w:t>
      </w:r>
      <w:hyperlink w:anchor="P1464">
        <w:r>
          <w:rPr>
            <w:color w:val="0000FF"/>
          </w:rPr>
          <w:t>430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Рекомендации при планировании беременности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При планировании беременности и наличии ГКМП в семье одного из родителей рекомендована консультация врача-генетика для оценки риска передачи заболевания потомству [</w:t>
      </w:r>
      <w:hyperlink w:anchor="P1063">
        <w:r>
          <w:rPr>
            <w:color w:val="0000FF"/>
          </w:rPr>
          <w:t>29</w:t>
        </w:r>
      </w:hyperlink>
      <w:r>
        <w:t xml:space="preserve">, </w:t>
      </w:r>
      <w:hyperlink w:anchor="P1064">
        <w:r>
          <w:rPr>
            <w:color w:val="0000FF"/>
          </w:rPr>
          <w:t>30</w:t>
        </w:r>
      </w:hyperlink>
      <w:r>
        <w:t xml:space="preserve">, </w:t>
      </w:r>
      <w:hyperlink w:anchor="P1208">
        <w:r>
          <w:rPr>
            <w:color w:val="0000FF"/>
          </w:rPr>
          <w:t>174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 xml:space="preserve"> - </w:t>
      </w:r>
      <w:hyperlink w:anchor="P1465">
        <w:r>
          <w:rPr>
            <w:color w:val="0000FF"/>
          </w:rPr>
          <w:t>431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При планировании беременности пациенткам с ГКМП и обструкцией выносящего тракта ЛЖ с наличием синкопальных состояний и/или жизнеугрожающих нарушений ритма рекомендовано решить вопрос о предварительной хирургической коррекции ГКМП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7">
        <w:r>
          <w:rPr>
            <w:color w:val="0000FF"/>
          </w:rPr>
          <w:t>4</w:t>
        </w:r>
      </w:hyperlink>
      <w:r>
        <w:t xml:space="preserve">, </w:t>
      </w:r>
      <w:hyperlink w:anchor="P1400">
        <w:r>
          <w:rPr>
            <w:color w:val="0000FF"/>
          </w:rPr>
          <w:t>366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 xml:space="preserve">, </w:t>
      </w:r>
      <w:hyperlink w:anchor="P1466">
        <w:r>
          <w:rPr>
            <w:color w:val="0000FF"/>
          </w:rPr>
          <w:t>432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Экстракорпоральное оплодотворение не рекомендовано (противопоказано) женщинам, у которых ГКМП осложнилась ХСН, ФП, рестриктивным типом наполнения ЛЖ, а также с выраженной гипертрофией ЛЖ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 xml:space="preserve">, </w:t>
      </w:r>
      <w:hyperlink w:anchor="P1464">
        <w:r>
          <w:rPr>
            <w:color w:val="0000FF"/>
          </w:rPr>
          <w:t>430</w:t>
        </w:r>
      </w:hyperlink>
      <w:r>
        <w:t xml:space="preserve"> - </w:t>
      </w:r>
      <w:hyperlink w:anchor="P1467">
        <w:r>
          <w:rPr>
            <w:color w:val="0000FF"/>
          </w:rPr>
          <w:t>433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Тактика ведения беременности при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Если ГКМП диагностирована до беременности или в сроки до 12 недель, а также при подозрении на ГКМП, рекомендована госпитализация женщины в кардиологическое отделение с целью уточнения диагноза, решения вопроса о пролонгировании беременности и, в случае необходимости, лечения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064">
        <w:r>
          <w:rPr>
            <w:color w:val="0000FF"/>
          </w:rPr>
          <w:t>30</w:t>
        </w:r>
      </w:hyperlink>
      <w:r>
        <w:t xml:space="preserve">, </w:t>
      </w:r>
      <w:hyperlink w:anchor="P1463">
        <w:r>
          <w:rPr>
            <w:color w:val="0000FF"/>
          </w:rPr>
          <w:t>429</w:t>
        </w:r>
      </w:hyperlink>
      <w:r>
        <w:t xml:space="preserve">, </w:t>
      </w:r>
      <w:hyperlink w:anchor="P1466">
        <w:r>
          <w:rPr>
            <w:color w:val="0000FF"/>
          </w:rPr>
          <w:t>432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При беременности пациенткам с ГКМП стратификацию материнского риска рекомендовано проводить, используя модифицированную классификацию ВОЗ материнского риска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7">
        <w:r>
          <w:rPr>
            <w:color w:val="0000FF"/>
          </w:rPr>
          <w:t>4</w:t>
        </w:r>
      </w:hyperlink>
      <w:r>
        <w:t xml:space="preserve">, </w:t>
      </w:r>
      <w:hyperlink w:anchor="P1463">
        <w:r>
          <w:rPr>
            <w:color w:val="0000FF"/>
          </w:rPr>
          <w:t>429</w:t>
        </w:r>
      </w:hyperlink>
      <w:r>
        <w:t xml:space="preserve">, </w:t>
      </w:r>
      <w:hyperlink w:anchor="P1464">
        <w:r>
          <w:rPr>
            <w:color w:val="0000FF"/>
          </w:rPr>
          <w:t>430</w:t>
        </w:r>
      </w:hyperlink>
      <w:r>
        <w:t xml:space="preserve"> - </w:t>
      </w:r>
      <w:hyperlink w:anchor="P1467">
        <w:r>
          <w:rPr>
            <w:color w:val="0000FF"/>
          </w:rPr>
          <w:t>433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 в идеале оценка риска должна проводиться до зачатия.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У пациенток с ГКМП терапию бета-адреноблокатором рекомендовано продолжить, если они принимали их до беременности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400">
        <w:r>
          <w:rPr>
            <w:color w:val="0000FF"/>
          </w:rPr>
          <w:t>366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 xml:space="preserve">, </w:t>
      </w:r>
      <w:hyperlink w:anchor="P1466">
        <w:r>
          <w:rPr>
            <w:color w:val="0000FF"/>
          </w:rPr>
          <w:t>432</w:t>
        </w:r>
      </w:hyperlink>
      <w:r>
        <w:t xml:space="preserve">, </w:t>
      </w:r>
      <w:hyperlink w:anchor="P1467">
        <w:r>
          <w:rPr>
            <w:color w:val="0000FF"/>
          </w:rPr>
          <w:t>433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IIC (УДД 3 УУР </w:t>
      </w:r>
      <w:hyperlink w:anchor="P1559">
        <w:r>
          <w:rPr>
            <w:color w:val="0000FF"/>
          </w:rPr>
          <w:t>B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Терапию бета-адреноблокатором рекомендовано начать беременной женщине с ГКМП и симптомами обструкции ВТЛЖ или нарушениями ритма сердца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400">
        <w:r>
          <w:rPr>
            <w:color w:val="0000FF"/>
          </w:rPr>
          <w:t>366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 xml:space="preserve">, </w:t>
      </w:r>
      <w:hyperlink w:anchor="P1466">
        <w:r>
          <w:rPr>
            <w:color w:val="0000FF"/>
          </w:rPr>
          <w:t>432</w:t>
        </w:r>
      </w:hyperlink>
      <w:r>
        <w:t xml:space="preserve">, </w:t>
      </w:r>
      <w:hyperlink w:anchor="P1467">
        <w:r>
          <w:rPr>
            <w:color w:val="0000FF"/>
          </w:rPr>
          <w:t>433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При терапии бета-адреноблокатором рекомендовано контролировать состояние и темп роста плода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7">
        <w:r>
          <w:rPr>
            <w:color w:val="0000FF"/>
          </w:rPr>
          <w:t>4</w:t>
        </w:r>
      </w:hyperlink>
      <w:r>
        <w:t xml:space="preserve">, </w:t>
      </w:r>
      <w:hyperlink w:anchor="P1400">
        <w:r>
          <w:rPr>
            <w:color w:val="0000FF"/>
          </w:rPr>
          <w:t>366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 xml:space="preserve"> - </w:t>
      </w:r>
      <w:hyperlink w:anchor="P1467">
        <w:r>
          <w:rPr>
            <w:color w:val="0000FF"/>
          </w:rPr>
          <w:t>433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Беременным с ГКМП при развитии ФП рекомендовано проведение кардиоверсии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 xml:space="preserve">, </w:t>
      </w:r>
      <w:hyperlink w:anchor="P1468">
        <w:r>
          <w:rPr>
            <w:color w:val="0000FF"/>
          </w:rPr>
          <w:t>434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Беременным с ГКМП и ФП рекомендована антикоагулянтная терапия (выбор препарата - гепарин натрия (нефракционированный или низкомолекулярный) или варфарин** - зависит от срока беременности). Использование дабигатрана этексилата** или ривароксабана**, или апиксабана** не рекомендуется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400">
        <w:r>
          <w:rPr>
            <w:color w:val="0000FF"/>
          </w:rPr>
          <w:t>366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 xml:space="preserve">, </w:t>
      </w:r>
      <w:hyperlink w:anchor="P1464">
        <w:r>
          <w:rPr>
            <w:color w:val="0000FF"/>
          </w:rPr>
          <w:t>430</w:t>
        </w:r>
      </w:hyperlink>
      <w:r>
        <w:t xml:space="preserve">, </w:t>
      </w:r>
      <w:hyperlink w:anchor="P1466">
        <w:r>
          <w:rPr>
            <w:color w:val="0000FF"/>
          </w:rPr>
          <w:t>432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Терапию варфарином** при ФП у беременных рекомендовано начинать со 2 триместра (в первом триместре возможен тератогенный эффект) и закончить за 1 месяц до родов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 xml:space="preserve">, </w:t>
      </w:r>
      <w:hyperlink w:anchor="P1464">
        <w:r>
          <w:rPr>
            <w:color w:val="0000FF"/>
          </w:rPr>
          <w:t>430</w:t>
        </w:r>
      </w:hyperlink>
      <w:r>
        <w:t xml:space="preserve">, </w:t>
      </w:r>
      <w:hyperlink w:anchor="P1466">
        <w:r>
          <w:rPr>
            <w:color w:val="0000FF"/>
          </w:rPr>
          <w:t>432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рекомендуемые режимы антикоагулянтной терапии при ГКМП у беременных с ФП и опасности, связанные с терапией варфарином**, представлены в </w:t>
      </w:r>
      <w:hyperlink w:anchor="P1627">
        <w:r>
          <w:rPr>
            <w:color w:val="0000FF"/>
          </w:rPr>
          <w:t>таблице 4</w:t>
        </w:r>
      </w:hyperlink>
      <w:r>
        <w:t>, Приложение А3.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Большинству беременных с ГКМП рекомендовано программируемое родоразрешение через естественные родовые пути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 xml:space="preserve">, </w:t>
      </w:r>
      <w:hyperlink w:anchor="P1463">
        <w:r>
          <w:rPr>
            <w:color w:val="0000FF"/>
          </w:rPr>
          <w:t>429</w:t>
        </w:r>
      </w:hyperlink>
      <w:r>
        <w:t xml:space="preserve">, </w:t>
      </w:r>
      <w:hyperlink w:anchor="P1464">
        <w:r>
          <w:rPr>
            <w:color w:val="0000FF"/>
          </w:rPr>
          <w:t>430</w:t>
        </w:r>
      </w:hyperlink>
      <w:r>
        <w:t xml:space="preserve">, </w:t>
      </w:r>
      <w:hyperlink w:anchor="P1466">
        <w:r>
          <w:rPr>
            <w:color w:val="0000FF"/>
          </w:rPr>
          <w:t>432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Комментарий: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Врачебная тактика ведения беременности и родоразрешения представлена в </w:t>
      </w:r>
      <w:hyperlink w:anchor="P1835">
        <w:r>
          <w:rPr>
            <w:color w:val="0000FF"/>
          </w:rPr>
          <w:t>Приложении Б12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Выбор медицинского учреждения для ведения беременных и родоразрешения представлен в </w:t>
      </w:r>
      <w:hyperlink w:anchor="P1861">
        <w:r>
          <w:rPr>
            <w:color w:val="0000FF"/>
          </w:rPr>
          <w:t>Приложении Б13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Ограничения в выборе методов диагностики у беременных представлены в </w:t>
      </w:r>
      <w:hyperlink w:anchor="P2163">
        <w:r>
          <w:rPr>
            <w:color w:val="0000FF"/>
          </w:rPr>
          <w:t>таблице П12</w:t>
        </w:r>
      </w:hyperlink>
      <w:r>
        <w:t>, Приложение Г1.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При ведении беременности и родов интересы матери должны доминировать.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Большинство женщин с неосложненной ГКМП относятся по модифицированной классификации ВОЗ материнского риска к классу II (ВОЗ II). Часть симптомных пациенток относится к ВОЗ III; они должны наблюдаться в специализированных учреждениях (см. </w:t>
      </w:r>
      <w:hyperlink w:anchor="P1861">
        <w:r>
          <w:rPr>
            <w:color w:val="0000FF"/>
          </w:rPr>
          <w:t>Приложение Б13</w:t>
        </w:r>
      </w:hyperlink>
      <w:r>
        <w:t>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Женщины с ГКМП, осложненной ХСН и дисфункцией ЛЖ (дилатационная стадия или присоединение рестриктивного фенотипа), относятся к классу IV материнского риска, и им беременность противопоказана.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При выраженной симптомной обструкции ВТЛЖ (также относятся к классу IV ВОЗ) беременность может стать возможной после предварительной коррекции обструкции ВТЛЖ.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Терапию бета-адреноблокатором (метопролол**, резервный - бисопролол**) беременным с ГКМП необходимо осуществлять под контролем ЧСС и АД, т.к. чрезмерное снижение АД может привести к уменьшению маточно-плацентарного кровотока и задержке внутриутробного развития плода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Контрацепция у женщин с бессимптомной или малосимптомной ГКМП не имеет каких-либо особенностей по сравнению со здоровыми.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Если ГКМП осложнилась ХСН и ФП, то следует с осторожностью использовать пероральные контрацептивы из-за риска тромбоэмболий. Их использование возможно при адекватной антикоагулянтной терапии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462">
        <w:r>
          <w:rPr>
            <w:color w:val="0000FF"/>
          </w:rPr>
          <w:t>428</w:t>
        </w:r>
      </w:hyperlink>
      <w:r>
        <w:t xml:space="preserve"> - </w:t>
      </w:r>
      <w:hyperlink w:anchor="P1464">
        <w:r>
          <w:rPr>
            <w:color w:val="0000FF"/>
          </w:rPr>
          <w:t>430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4. Реабилитация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ind w:firstLine="540"/>
        <w:jc w:val="both"/>
      </w:pPr>
      <w:r>
        <w:t>Специальных рекомендаций по реабилитации пациентов с ГКМП не существует. После хирургического или эндоваскулярного вмешательства пациентам с ГКМП проводятся такие же реабилитационные мероприятия, как и пациентам с другой сердечно-сосудистой патологией, перенесшим хирургические или эндоваскулярные вмешательства.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5. Профилактика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ind w:firstLine="540"/>
        <w:jc w:val="both"/>
      </w:pPr>
      <w:r>
        <w:t>Профилактики ГКМП как заболевания не существует.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Профилактические мероприятия у пациентов с ГКМП заключаются в профилактике основных осложнений заболевания, которые представлены в </w:t>
      </w:r>
      <w:hyperlink w:anchor="P2519">
        <w:r>
          <w:rPr>
            <w:color w:val="0000FF"/>
          </w:rPr>
          <w:t>таблице П3</w:t>
        </w:r>
      </w:hyperlink>
      <w:r>
        <w:t>, Приложение Г3.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Общие рекомендации по образу жизни пациенту с ГКМП представлены в </w:t>
      </w:r>
      <w:hyperlink w:anchor="P1890">
        <w:r>
          <w:rPr>
            <w:color w:val="0000FF"/>
          </w:rPr>
          <w:t>Приложении В</w:t>
        </w:r>
      </w:hyperlink>
      <w:r>
        <w:t>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Диспансерное наблюдение пациентов с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Пациенты с ГКМП нуждаются в пожизненном наблюдении для выявления изменений в симптоматике и предупреждения осложнений.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 начальном этапе медикаментозного лечения плановые повторные визиты к врачу желательно проводить через 6, 9, 12 месяцев (при необходимости чаще) для оценки переносимости, эффективности и безопасности лечения, а также контроля выполнения врачебных рекомендаций. При недостаточной эффективности и плохой переносимости проводимого медикаментозного лечения рекомендована замена используемого лекарственного препарата с последующим контролем проводимого лечения.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Всем пациентам с ГКМП, включая носителей патологических мутаций без фенотипических проявлений болезни и пациентов с бессимптомным течением заболевания, рекомендовано динамическое наблюдение, в ходе которого оценивается характер и выраженность клинических, морфологических и гемодинамических нарушений и определяется лечебная стратегия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50">
        <w:r>
          <w:rPr>
            <w:color w:val="0000FF"/>
          </w:rPr>
          <w:t>116</w:t>
        </w:r>
      </w:hyperlink>
      <w:r>
        <w:t xml:space="preserve">, </w:t>
      </w:r>
      <w:hyperlink w:anchor="P1179">
        <w:r>
          <w:rPr>
            <w:color w:val="0000FF"/>
          </w:rPr>
          <w:t>145</w:t>
        </w:r>
      </w:hyperlink>
      <w:r>
        <w:t xml:space="preserve">, </w:t>
      </w:r>
      <w:hyperlink w:anchor="P1180">
        <w:r>
          <w:rPr>
            <w:color w:val="0000FF"/>
          </w:rPr>
          <w:t>146</w:t>
        </w:r>
      </w:hyperlink>
      <w:r>
        <w:t xml:space="preserve">, </w:t>
      </w:r>
      <w:hyperlink w:anchor="P1366">
        <w:r>
          <w:rPr>
            <w:color w:val="0000FF"/>
          </w:rPr>
          <w:t>332</w:t>
        </w:r>
      </w:hyperlink>
      <w:r>
        <w:t xml:space="preserve">, </w:t>
      </w:r>
      <w:hyperlink w:anchor="P1390">
        <w:r>
          <w:rPr>
            <w:color w:val="0000FF"/>
          </w:rPr>
          <w:t>356</w:t>
        </w:r>
      </w:hyperlink>
      <w:r>
        <w:t xml:space="preserve">, </w:t>
      </w:r>
      <w:hyperlink w:anchor="P1392">
        <w:r>
          <w:rPr>
            <w:color w:val="0000FF"/>
          </w:rPr>
          <w:t>358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У клинически стабильных пациентов рекомендуются повторные ТТ-ЭХОКГ каждые 1 - 2 года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50">
        <w:r>
          <w:rPr>
            <w:color w:val="0000FF"/>
          </w:rPr>
          <w:t>116</w:t>
        </w:r>
      </w:hyperlink>
      <w:r>
        <w:t xml:space="preserve">, </w:t>
      </w:r>
      <w:hyperlink w:anchor="P1179">
        <w:r>
          <w:rPr>
            <w:color w:val="0000FF"/>
          </w:rPr>
          <w:t>145</w:t>
        </w:r>
      </w:hyperlink>
      <w:r>
        <w:t xml:space="preserve">, </w:t>
      </w:r>
      <w:hyperlink w:anchor="P1180">
        <w:r>
          <w:rPr>
            <w:color w:val="0000FF"/>
          </w:rPr>
          <w:t>146</w:t>
        </w:r>
      </w:hyperlink>
      <w:r>
        <w:t xml:space="preserve">, </w:t>
      </w:r>
      <w:hyperlink w:anchor="P1212">
        <w:r>
          <w:rPr>
            <w:color w:val="0000FF"/>
          </w:rPr>
          <w:t>178</w:t>
        </w:r>
      </w:hyperlink>
      <w:r>
        <w:t xml:space="preserve">, </w:t>
      </w:r>
      <w:hyperlink w:anchor="P1218">
        <w:r>
          <w:rPr>
            <w:color w:val="0000FF"/>
          </w:rPr>
          <w:t>184</w:t>
        </w:r>
      </w:hyperlink>
      <w:r>
        <w:t xml:space="preserve">, </w:t>
      </w:r>
      <w:hyperlink w:anchor="P1234">
        <w:r>
          <w:rPr>
            <w:color w:val="0000FF"/>
          </w:rPr>
          <w:t>200</w:t>
        </w:r>
      </w:hyperlink>
      <w:r>
        <w:t xml:space="preserve">, </w:t>
      </w:r>
      <w:hyperlink w:anchor="P1250">
        <w:r>
          <w:rPr>
            <w:color w:val="0000FF"/>
          </w:rPr>
          <w:t>216</w:t>
        </w:r>
      </w:hyperlink>
      <w:r>
        <w:t xml:space="preserve">, </w:t>
      </w:r>
      <w:hyperlink w:anchor="P1390">
        <w:r>
          <w:rPr>
            <w:color w:val="0000FF"/>
          </w:rPr>
          <w:t>356</w:t>
        </w:r>
      </w:hyperlink>
      <w:r>
        <w:t xml:space="preserve">, </w:t>
      </w:r>
      <w:hyperlink w:anchor="P1366">
        <w:r>
          <w:rPr>
            <w:color w:val="0000FF"/>
          </w:rPr>
          <w:t>332</w:t>
        </w:r>
      </w:hyperlink>
      <w:r>
        <w:t xml:space="preserve">, </w:t>
      </w:r>
      <w:hyperlink w:anchor="P1392">
        <w:r>
          <w:rPr>
            <w:color w:val="0000FF"/>
          </w:rPr>
          <w:t>358</w:t>
        </w:r>
      </w:hyperlink>
      <w:r>
        <w:t xml:space="preserve">, </w:t>
      </w:r>
      <w:hyperlink w:anchor="P1469">
        <w:r>
          <w:rPr>
            <w:color w:val="0000FF"/>
          </w:rPr>
          <w:t>435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Консенсус экспертов EACVI 2015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Повторные ЭХОКГ-исследования рекомендуются пациентам с ГКМП с изменениями в клиническом статусе или появлением новых сердечно-сосудистых проявлений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50">
        <w:r>
          <w:rPr>
            <w:color w:val="0000FF"/>
          </w:rPr>
          <w:t>116</w:t>
        </w:r>
      </w:hyperlink>
      <w:r>
        <w:t xml:space="preserve">, </w:t>
      </w:r>
      <w:hyperlink w:anchor="P1179">
        <w:r>
          <w:rPr>
            <w:color w:val="0000FF"/>
          </w:rPr>
          <w:t>145</w:t>
        </w:r>
      </w:hyperlink>
      <w:r>
        <w:t xml:space="preserve">, </w:t>
      </w:r>
      <w:hyperlink w:anchor="P1180">
        <w:r>
          <w:rPr>
            <w:color w:val="0000FF"/>
          </w:rPr>
          <w:t>146</w:t>
        </w:r>
      </w:hyperlink>
      <w:r>
        <w:t xml:space="preserve">, </w:t>
      </w:r>
      <w:hyperlink w:anchor="P1212">
        <w:r>
          <w:rPr>
            <w:color w:val="0000FF"/>
          </w:rPr>
          <w:t>178</w:t>
        </w:r>
      </w:hyperlink>
      <w:r>
        <w:t xml:space="preserve">, </w:t>
      </w:r>
      <w:hyperlink w:anchor="P1218">
        <w:r>
          <w:rPr>
            <w:color w:val="0000FF"/>
          </w:rPr>
          <w:t>184</w:t>
        </w:r>
      </w:hyperlink>
      <w:r>
        <w:t xml:space="preserve">, </w:t>
      </w:r>
      <w:hyperlink w:anchor="P1234">
        <w:r>
          <w:rPr>
            <w:color w:val="0000FF"/>
          </w:rPr>
          <w:t>200</w:t>
        </w:r>
      </w:hyperlink>
      <w:r>
        <w:t xml:space="preserve">, </w:t>
      </w:r>
      <w:hyperlink w:anchor="P1390">
        <w:r>
          <w:rPr>
            <w:color w:val="0000FF"/>
          </w:rPr>
          <w:t>356</w:t>
        </w:r>
      </w:hyperlink>
      <w:r>
        <w:t xml:space="preserve">, </w:t>
      </w:r>
      <w:hyperlink w:anchor="P1366">
        <w:r>
          <w:rPr>
            <w:color w:val="0000FF"/>
          </w:rPr>
          <w:t>332</w:t>
        </w:r>
      </w:hyperlink>
      <w:r>
        <w:t xml:space="preserve">, </w:t>
      </w:r>
      <w:hyperlink w:anchor="P1392">
        <w:r>
          <w:rPr>
            <w:color w:val="0000FF"/>
          </w:rPr>
          <w:t>358</w:t>
        </w:r>
      </w:hyperlink>
      <w:r>
        <w:t xml:space="preserve">, </w:t>
      </w:r>
      <w:hyperlink w:anchor="P1469">
        <w:r>
          <w:rPr>
            <w:color w:val="0000FF"/>
          </w:rPr>
          <w:t>435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IB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- 48-часовое ХМЭКГ рекомендуется каждые 12 - 24 месяца клинически стабильным пациентам, каждые 6 - 12 - месяцев пациентам с синусовым ритмом и размером ЛП </w:t>
      </w:r>
      <w:r>
        <w:rPr>
          <w:noProof/>
          <w:position w:val="-2"/>
        </w:rPr>
        <w:drawing>
          <wp:inline distT="0" distB="0" distL="0" distR="0">
            <wp:extent cx="136525" cy="167640"/>
            <wp:effectExtent l="0" t="0" r="0" b="0"/>
            <wp:docPr id="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45 мм или при появлении новых жалоб на сердцебиения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146">
        <w:r>
          <w:rPr>
            <w:color w:val="0000FF"/>
          </w:rPr>
          <w:t>112</w:t>
        </w:r>
      </w:hyperlink>
      <w:r>
        <w:t xml:space="preserve">, </w:t>
      </w:r>
      <w:hyperlink w:anchor="P1215">
        <w:r>
          <w:rPr>
            <w:color w:val="0000FF"/>
          </w:rPr>
          <w:t>181</w:t>
        </w:r>
      </w:hyperlink>
      <w:r>
        <w:t xml:space="preserve">, </w:t>
      </w:r>
      <w:hyperlink w:anchor="P1218">
        <w:r>
          <w:rPr>
            <w:color w:val="0000FF"/>
          </w:rPr>
          <w:t>184</w:t>
        </w:r>
      </w:hyperlink>
      <w:r>
        <w:t xml:space="preserve">, </w:t>
      </w:r>
      <w:hyperlink w:anchor="P1348">
        <w:r>
          <w:rPr>
            <w:color w:val="0000FF"/>
          </w:rPr>
          <w:t>314</w:t>
        </w:r>
      </w:hyperlink>
      <w:r>
        <w:t xml:space="preserve">, </w:t>
      </w:r>
      <w:hyperlink w:anchor="P1455">
        <w:r>
          <w:rPr>
            <w:color w:val="0000FF"/>
          </w:rPr>
          <w:t>421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Рекомендовано рассмотреть возможность проведения нагрузочного тестирования каждые 2 - 3 года для клинически стабильных пациентов и каждый год - при прогрессировании симптомов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243">
        <w:r>
          <w:rPr>
            <w:color w:val="0000FF"/>
          </w:rPr>
          <w:t>209</w:t>
        </w:r>
      </w:hyperlink>
      <w:r>
        <w:t xml:space="preserve">, </w:t>
      </w:r>
      <w:hyperlink w:anchor="P1250">
        <w:r>
          <w:rPr>
            <w:color w:val="0000FF"/>
          </w:rPr>
          <w:t>216</w:t>
        </w:r>
      </w:hyperlink>
      <w:r>
        <w:t xml:space="preserve">, </w:t>
      </w:r>
      <w:hyperlink w:anchor="P1303">
        <w:r>
          <w:rPr>
            <w:color w:val="0000FF"/>
          </w:rPr>
          <w:t>269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5,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Рекомендовано рассмотреть возможность проведения МРТ сердца каждые 5 лет для клинически стабильных пациентов и каждые 2 - 3 года - пациентам с прогрессированием заболевания [</w:t>
      </w:r>
      <w:hyperlink w:anchor="P1038">
        <w:r>
          <w:rPr>
            <w:color w:val="0000FF"/>
          </w:rPr>
          <w:t>4</w:t>
        </w:r>
      </w:hyperlink>
      <w:r>
        <w:t xml:space="preserve">, </w:t>
      </w:r>
      <w:hyperlink w:anchor="P1250">
        <w:r>
          <w:rPr>
            <w:color w:val="0000FF"/>
          </w:rPr>
          <w:t>216</w:t>
        </w:r>
      </w:hyperlink>
      <w:r>
        <w:t xml:space="preserve">, </w:t>
      </w:r>
      <w:hyperlink w:anchor="P1271">
        <w:r>
          <w:rPr>
            <w:color w:val="0000FF"/>
          </w:rPr>
          <w:t>237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Консенсус экспертов EACVI 2015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Полное обследование, включающее ЭКГ и ТТ-ЭХОКГ и ХМЭКГ, рекомендуется в течение 1 - 3 месяцев и 6 - 12 месяцев после проведения редукции МЖП </w:t>
      </w:r>
      <w:hyperlink w:anchor="P1037">
        <w:r>
          <w:rPr>
            <w:color w:val="0000FF"/>
          </w:rPr>
          <w:t>[4]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Комментарий: неотъемлемой частью мероприятий при лечении и динамическом </w:t>
      </w:r>
      <w:r>
        <w:lastRenderedPageBreak/>
        <w:t>наблюдении за пациентами с ГКМП должно быть повышение их образовательного уровня. Если даже врач разработает оптимальную программу лечения для каждого конкретного пациента, провести ее в жизнь будет весьма сложно при наличии низкой мотивации к лечению. Все применяемые методы лечения и профилактики должны быть обсуждены и согласованы с пациентом. При выборе режима назначения препарата необходимо учитывать образ жизни пациента. Все рекомендации, даваемые пациенту, должны быть ясными, четкими и соответствовать его интеллектуальному уровню.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Для некоторых пациентов, которым устных рекомендаций недостаточно, следует рассмотреть возможность продублировать их в письменном виде для обеспечения осознанного участия пациента в лечебно-профилактическом процессе и повышения эффективности лечения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8">
        <w:r>
          <w:rPr>
            <w:color w:val="0000FF"/>
          </w:rPr>
          <w:t>4</w:t>
        </w:r>
      </w:hyperlink>
      <w:r>
        <w:t>].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Организация оказания медицинской помощи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Пациентам с неочевидным диагнозом, тяжелыми симптомами или повышенным риском связанных с заболеванием осложнений рекомендуется обследование и лечение у специалистов мультидисциплинарной команды, экспертов в ведении ГКМП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7">
        <w:r>
          <w:rPr>
            <w:color w:val="0000FF"/>
          </w:rPr>
          <w:t>4</w:t>
        </w:r>
      </w:hyperlink>
      <w:r>
        <w:t xml:space="preserve">, </w:t>
      </w:r>
      <w:hyperlink w:anchor="P1470">
        <w:r>
          <w:rPr>
            <w:color w:val="0000FF"/>
          </w:rPr>
          <w:t>436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IIbC (УУР </w:t>
      </w:r>
      <w:hyperlink w:anchor="P1561">
        <w:r>
          <w:rPr>
            <w:color w:val="0000FF"/>
          </w:rPr>
          <w:t>C</w:t>
        </w:r>
      </w:hyperlink>
      <w:r>
        <w:t>, УДД 5)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Независимо от выраженности симптомов рекомендуется регулярное обследование пациентов и, при возможности, родственников первой степени родства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7">
        <w:r>
          <w:rPr>
            <w:color w:val="0000FF"/>
          </w:rPr>
          <w:t>4</w:t>
        </w:r>
      </w:hyperlink>
      <w:r>
        <w:t xml:space="preserve">, </w:t>
      </w:r>
      <w:hyperlink w:anchor="P1045">
        <w:r>
          <w:rPr>
            <w:color w:val="0000FF"/>
          </w:rPr>
          <w:t>11</w:t>
        </w:r>
      </w:hyperlink>
      <w:r>
        <w:t xml:space="preserve">, </w:t>
      </w:r>
      <w:hyperlink w:anchor="P1061">
        <w:r>
          <w:rPr>
            <w:color w:val="0000FF"/>
          </w:rPr>
          <w:t>27</w:t>
        </w:r>
      </w:hyperlink>
      <w:r>
        <w:t xml:space="preserve">, </w:t>
      </w:r>
      <w:hyperlink w:anchor="P1150">
        <w:r>
          <w:rPr>
            <w:color w:val="0000FF"/>
          </w:rPr>
          <w:t>116</w:t>
        </w:r>
      </w:hyperlink>
      <w:r>
        <w:t xml:space="preserve">, </w:t>
      </w:r>
      <w:hyperlink w:anchor="P1179">
        <w:r>
          <w:rPr>
            <w:color w:val="0000FF"/>
          </w:rPr>
          <w:t>145</w:t>
        </w:r>
      </w:hyperlink>
      <w:r>
        <w:t xml:space="preserve">, </w:t>
      </w:r>
      <w:hyperlink w:anchor="P1180">
        <w:r>
          <w:rPr>
            <w:color w:val="0000FF"/>
          </w:rPr>
          <w:t>146</w:t>
        </w:r>
      </w:hyperlink>
      <w:r>
        <w:t xml:space="preserve">, </w:t>
      </w:r>
      <w:hyperlink w:anchor="P1212">
        <w:r>
          <w:rPr>
            <w:color w:val="0000FF"/>
          </w:rPr>
          <w:t>178</w:t>
        </w:r>
      </w:hyperlink>
      <w:r>
        <w:t xml:space="preserve">, </w:t>
      </w:r>
      <w:hyperlink w:anchor="P1218">
        <w:r>
          <w:rPr>
            <w:color w:val="0000FF"/>
          </w:rPr>
          <w:t>184</w:t>
        </w:r>
      </w:hyperlink>
      <w:r>
        <w:t xml:space="preserve">, </w:t>
      </w:r>
      <w:hyperlink w:anchor="P1234">
        <w:r>
          <w:rPr>
            <w:color w:val="0000FF"/>
          </w:rPr>
          <w:t>200</w:t>
        </w:r>
      </w:hyperlink>
      <w:r>
        <w:t xml:space="preserve">, </w:t>
      </w:r>
      <w:hyperlink w:anchor="P1366">
        <w:r>
          <w:rPr>
            <w:color w:val="0000FF"/>
          </w:rPr>
          <w:t>332</w:t>
        </w:r>
      </w:hyperlink>
      <w:r>
        <w:t xml:space="preserve">, </w:t>
      </w:r>
      <w:hyperlink w:anchor="P1390">
        <w:r>
          <w:rPr>
            <w:color w:val="0000FF"/>
          </w:rPr>
          <w:t>356</w:t>
        </w:r>
      </w:hyperlink>
      <w:r>
        <w:t xml:space="preserve">, </w:t>
      </w:r>
      <w:hyperlink w:anchor="P1077">
        <w:r>
          <w:rPr>
            <w:color w:val="0000FF"/>
          </w:rPr>
          <w:t>43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IC (УДД 4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Рекомендовано во всех случаях ГКМП клиницистам планировать обследование и лечение пациентов в центрах с мультидисциплинарной командой специалистов, с опытом диагностики и лечения заболеваний миокарда [</w:t>
      </w:r>
      <w:hyperlink w:anchor="P1037">
        <w:r>
          <w:rPr>
            <w:color w:val="0000FF"/>
          </w:rPr>
          <w:t>3</w:t>
        </w:r>
      </w:hyperlink>
      <w:r>
        <w:t xml:space="preserve">, </w:t>
      </w:r>
      <w:hyperlink w:anchor="P1037">
        <w:r>
          <w:rPr>
            <w:color w:val="0000FF"/>
          </w:rPr>
          <w:t>4</w:t>
        </w:r>
      </w:hyperlink>
      <w:r>
        <w:t xml:space="preserve">, </w:t>
      </w:r>
      <w:hyperlink w:anchor="P1470">
        <w:r>
          <w:rPr>
            <w:color w:val="0000FF"/>
          </w:rPr>
          <w:t>436</w:t>
        </w:r>
      </w:hyperlink>
      <w:r>
        <w:t>].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ЕОК IIaC (УДД 5 УУР </w:t>
      </w:r>
      <w:hyperlink w:anchor="P1561">
        <w:r>
          <w:rPr>
            <w:color w:val="0000FF"/>
          </w:rPr>
          <w:t>C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Показания к плановой госпитализации в медицинскую организацию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Уточнение причины ГЛЖ неясного генеза и необходимость в специальных методах исследования (исключение фенокопий ГКМП).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Использование диагностических процедур, проведение которых невозможно или нецелесообразно в условиях поликлиники.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3. Трудности в подборе медикаментозной терапии для коррекции синдромов (из-за сочетания патологий ГКМП/ОГКМП + АГ, ГКМП + СД 2 типа, синдром стенокардии).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4. Назначение бета-адреноблокаторов, верапамила**: их комбинации рекомендуется начинать в условиях стационара с малых доз, проводить титрование до максимально переносимых доз под контролем самочувствия и ЭКГ.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5. Рефрактерность к проводимой в полном объеме фармакотерапии и наличие показаний к СМЭ/РМЭ, САА, ЭКС.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Показания к экстренной госпитализации в медицинскую организацию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Прогрессия ХСН, требующая интенсивной терапии.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Отек легких.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3. Инсульт.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4. Опасные для жизни нарушения сердечного ритма и проводимости, требующие интенсивной терапии.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5. Синкопальные состояния.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6. ОКС.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7. Предотвращенная ВСС.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Показания к выписке пациента из медицинской организации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При плановой госпитализации показанием к выписке пациента с ГКМП является улучшение клинической симптоматики на фоне проводимой фармакотерапии, имплантации ИКД***, ЭКС***/ДЭКС***, эндоваскулярного/хирургического лечения (СМЭ/РМЭ, САА).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При экстренной госпитализации показанием к выписке пациента с ГКМП является коррекция нарушений ритма и проводимости, в том числе фатальных, отсутствие осложнений, требующих интенсивной терапии, и стабилизация ХСН.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3. Нормализация показателей (целевые уровни АД, гликемии, липидограммы) при, соответственно АГ, СД тип 1 или тип 2, дислипидемии, если ухудшение в течение этих заболеваний явилось основанием для плановой или экстренной госпитализации пациентов с ГКМП в сочетании с коморбидной патологией.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4. При синдроме стенокардии показанием для выписки пациента с ГКМП является достижение стабилизации состояния пациента с ГКМП на фоне фармакотерапии, эндоваскулярного/хирургического лечения (АКШ)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5. Установление диагноза фенокопий ГКМП, выписка/перевод пациента в специализированные отделения для этиопатогенетического лечения (например, в гематологическое отделение при AL-амилоидозе с изолированным/преимущественным поражением сердца)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Иные организационные технологии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Целесообразно создание территориальных регистров пациентов с ГКМП.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При анализе работы ЛПУ с пациентами с ГКМП целесообразно оценивать следующие показатели: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соотношение ГКМП и фенокопий ГКМП, этиологический спектр фенокопий ГКМП;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соотношение обструктивных и необструктивных форм ГКМП;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соотношение семейных и спорадических случаев заболевания;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частоту госпитализаций в связи с прогрессированием ХСН, ФП, ОКС, случаи ВСС;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потребность в ЭКГ, ЭХОКГ, МРТ, КТ, коронарографии для выполнения рекомендаций по динамическому наблюдению и обследованию пробанда и родственников пациентов первой линии родства;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смертность (%), осложнения (%) за год, 3 года, 5 лет;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- частоту выявления факторов кардиометаболического риска (АГ, дислипидемия, </w:t>
      </w:r>
      <w:r>
        <w:lastRenderedPageBreak/>
        <w:t>ожирение/избыточный вес, СД 1 и 2 типа) в разных возрастных группах ГКМП;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результаты мониторирования потенциально модифицируемых факторов: антропометрических данных (ИМТ, ОТ), показателей липидного профиля, уровня гликемии) в разных возрастных группах пациентов.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6. Дополнительная информация, влияющая на течение и исход заболевания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ind w:firstLine="540"/>
        <w:jc w:val="both"/>
      </w:pPr>
      <w:r>
        <w:t>Другими важными целями при лечении ГКМП являются: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коррекция всех потенциально модифицируемых факторов риска (курение, дислипидемия, гипергликемия, ожирение);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лечение сопутствующих заболеваний в соответствии с национальными клиническими рекомендациями (ИБС, АГ, СД, ХБП).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Критерии оценки качества медицинской помощи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"/>
        <w:gridCol w:w="4818"/>
        <w:gridCol w:w="1303"/>
        <w:gridCol w:w="793"/>
        <w:gridCol w:w="793"/>
        <w:gridCol w:w="907"/>
      </w:tblGrid>
      <w:tr w:rsidR="00D02866">
        <w:tc>
          <w:tcPr>
            <w:tcW w:w="453" w:type="dxa"/>
          </w:tcPr>
          <w:p w:rsidR="00D02866" w:rsidRDefault="00D02866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818" w:type="dxa"/>
          </w:tcPr>
          <w:p w:rsidR="00D02866" w:rsidRDefault="00D02866">
            <w:pPr>
              <w:pStyle w:val="ConsPlusNormal"/>
              <w:jc w:val="center"/>
            </w:pPr>
            <w:r>
              <w:t>Критерий качества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center"/>
            </w:pPr>
            <w:r>
              <w:t>ЕОК</w:t>
            </w:r>
          </w:p>
          <w:p w:rsidR="00D02866" w:rsidRDefault="00D02866">
            <w:pPr>
              <w:pStyle w:val="ConsPlusNormal"/>
              <w:jc w:val="center"/>
            </w:pPr>
            <w:r>
              <w:t>Класс и уровень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center"/>
            </w:pPr>
            <w:r>
              <w:t>УДД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center"/>
            </w:pPr>
            <w:r>
              <w:t>УУР</w:t>
            </w:r>
          </w:p>
        </w:tc>
        <w:tc>
          <w:tcPr>
            <w:tcW w:w="907" w:type="dxa"/>
          </w:tcPr>
          <w:p w:rsidR="00D02866" w:rsidRDefault="00D02866">
            <w:pPr>
              <w:pStyle w:val="ConsPlusNormal"/>
              <w:jc w:val="center"/>
            </w:pPr>
            <w:r>
              <w:t>Да\нет</w:t>
            </w:r>
          </w:p>
        </w:tc>
      </w:tr>
      <w:tr w:rsidR="00D02866">
        <w:tc>
          <w:tcPr>
            <w:tcW w:w="453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4818" w:type="dxa"/>
          </w:tcPr>
          <w:p w:rsidR="00D02866" w:rsidRDefault="00D02866">
            <w:pPr>
              <w:pStyle w:val="ConsPlusNormal"/>
              <w:jc w:val="both"/>
            </w:pPr>
            <w:r>
              <w:t>Выполнены ЭКГ и ТТ-ЭХОКГ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IB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B</w:t>
            </w:r>
          </w:p>
        </w:tc>
        <w:tc>
          <w:tcPr>
            <w:tcW w:w="907" w:type="dxa"/>
          </w:tcPr>
          <w:p w:rsidR="00D02866" w:rsidRDefault="00D02866">
            <w:pPr>
              <w:pStyle w:val="ConsPlusNormal"/>
              <w:jc w:val="both"/>
            </w:pPr>
            <w:r>
              <w:t>Да/Нет</w:t>
            </w:r>
          </w:p>
        </w:tc>
      </w:tr>
      <w:tr w:rsidR="00D02866">
        <w:tc>
          <w:tcPr>
            <w:tcW w:w="453" w:type="dxa"/>
          </w:tcPr>
          <w:p w:rsidR="00D02866" w:rsidRDefault="00D02866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4818" w:type="dxa"/>
          </w:tcPr>
          <w:p w:rsidR="00D02866" w:rsidRDefault="00D02866">
            <w:pPr>
              <w:pStyle w:val="ConsPlusNormal"/>
              <w:jc w:val="both"/>
            </w:pPr>
            <w:r>
              <w:t>Выполнено МРТ сердца с контрастированием или КТ сердца с контрастированием при наличии медицинских показаний и при отсутствии противопоказаний. В случае отсутствия возможности выполнения этих методов исследования в медицинском учреждении пациент направлен в специализированный кардиологический центр для выполнения данных исследований.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IC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C</w:t>
            </w:r>
          </w:p>
        </w:tc>
        <w:tc>
          <w:tcPr>
            <w:tcW w:w="907" w:type="dxa"/>
          </w:tcPr>
          <w:p w:rsidR="00D02866" w:rsidRDefault="00D02866">
            <w:pPr>
              <w:pStyle w:val="ConsPlusNormal"/>
              <w:jc w:val="both"/>
            </w:pPr>
            <w:r>
              <w:t>Да/Нет</w:t>
            </w:r>
          </w:p>
        </w:tc>
      </w:tr>
      <w:tr w:rsidR="00D02866">
        <w:tc>
          <w:tcPr>
            <w:tcW w:w="453" w:type="dxa"/>
          </w:tcPr>
          <w:p w:rsidR="00D02866" w:rsidRDefault="00D02866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4818" w:type="dxa"/>
          </w:tcPr>
          <w:p w:rsidR="00D02866" w:rsidRDefault="00D02866">
            <w:pPr>
              <w:pStyle w:val="ConsPlusNormal"/>
              <w:jc w:val="both"/>
            </w:pPr>
            <w:r>
              <w:t>Выполнено ХМЭКГ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IB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B</w:t>
            </w:r>
          </w:p>
        </w:tc>
        <w:tc>
          <w:tcPr>
            <w:tcW w:w="907" w:type="dxa"/>
          </w:tcPr>
          <w:p w:rsidR="00D02866" w:rsidRDefault="00D02866">
            <w:pPr>
              <w:pStyle w:val="ConsPlusNormal"/>
              <w:jc w:val="both"/>
            </w:pPr>
            <w:r>
              <w:t>Да/Нет</w:t>
            </w:r>
          </w:p>
        </w:tc>
      </w:tr>
      <w:tr w:rsidR="00D02866">
        <w:tc>
          <w:tcPr>
            <w:tcW w:w="453" w:type="dxa"/>
          </w:tcPr>
          <w:p w:rsidR="00D02866" w:rsidRDefault="00D02866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4818" w:type="dxa"/>
          </w:tcPr>
          <w:p w:rsidR="00D02866" w:rsidRDefault="00D02866">
            <w:pPr>
              <w:pStyle w:val="ConsPlusNormal"/>
              <w:jc w:val="both"/>
            </w:pPr>
            <w:r>
              <w:t>Выполнены анализы:</w:t>
            </w:r>
          </w:p>
          <w:p w:rsidR="00D02866" w:rsidRDefault="00D02866">
            <w:pPr>
              <w:pStyle w:val="ConsPlusNormal"/>
              <w:jc w:val="both"/>
            </w:pPr>
            <w:r>
              <w:t>клинический анализ крови и общий анализ мочи, биохимический анализ крови (включая холестерин, триглицериды, калий, натрий, АСТ, АЛТ, мочевину, креатинин, билирубин, глюкозу)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IC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C</w:t>
            </w:r>
          </w:p>
        </w:tc>
        <w:tc>
          <w:tcPr>
            <w:tcW w:w="907" w:type="dxa"/>
          </w:tcPr>
          <w:p w:rsidR="00D02866" w:rsidRDefault="00D02866">
            <w:pPr>
              <w:pStyle w:val="ConsPlusNormal"/>
              <w:jc w:val="both"/>
            </w:pPr>
            <w:r>
              <w:t>Да/Нет</w:t>
            </w:r>
          </w:p>
        </w:tc>
      </w:tr>
      <w:tr w:rsidR="00D02866">
        <w:tc>
          <w:tcPr>
            <w:tcW w:w="453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4818" w:type="dxa"/>
          </w:tcPr>
          <w:p w:rsidR="00D02866" w:rsidRDefault="00D02866">
            <w:pPr>
              <w:pStyle w:val="ConsPlusNormal"/>
              <w:jc w:val="both"/>
            </w:pPr>
            <w:r>
              <w:t>Проведена стратификация риска у пациентов с ГКМП со средним и низким риском ВСС, а также у пациентов с ОГКМП, перенесших СМЭ/РМЭ (американская модель).</w:t>
            </w:r>
          </w:p>
        </w:tc>
        <w:tc>
          <w:tcPr>
            <w:tcW w:w="1303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IB</w:t>
            </w:r>
          </w:p>
        </w:tc>
        <w:tc>
          <w:tcPr>
            <w:tcW w:w="793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3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B</w:t>
            </w:r>
          </w:p>
        </w:tc>
        <w:tc>
          <w:tcPr>
            <w:tcW w:w="907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Да/Нет</w:t>
            </w:r>
          </w:p>
        </w:tc>
      </w:tr>
      <w:tr w:rsidR="00D02866">
        <w:tc>
          <w:tcPr>
            <w:tcW w:w="453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818" w:type="dxa"/>
          </w:tcPr>
          <w:p w:rsidR="00D02866" w:rsidRDefault="00D02866">
            <w:pPr>
              <w:pStyle w:val="ConsPlusNormal"/>
              <w:jc w:val="both"/>
            </w:pPr>
            <w:r>
              <w:t>Определены показания к ИКД*** в зависимости от медицинских показаний и при отсутствии медицинских противопоказаний</w:t>
            </w:r>
          </w:p>
        </w:tc>
        <w:tc>
          <w:tcPr>
            <w:tcW w:w="1303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93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93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907" w:type="dxa"/>
            <w:vMerge/>
          </w:tcPr>
          <w:p w:rsidR="00D02866" w:rsidRDefault="00D02866">
            <w:pPr>
              <w:pStyle w:val="ConsPlusNormal"/>
            </w:pPr>
          </w:p>
        </w:tc>
      </w:tr>
      <w:tr w:rsidR="00D02866">
        <w:tc>
          <w:tcPr>
            <w:tcW w:w="453" w:type="dxa"/>
          </w:tcPr>
          <w:p w:rsidR="00D02866" w:rsidRDefault="00D02866">
            <w:pPr>
              <w:pStyle w:val="ConsPlusNormal"/>
              <w:jc w:val="both"/>
            </w:pPr>
            <w:r>
              <w:t>6</w:t>
            </w:r>
          </w:p>
        </w:tc>
        <w:tc>
          <w:tcPr>
            <w:tcW w:w="4818" w:type="dxa"/>
          </w:tcPr>
          <w:p w:rsidR="00D02866" w:rsidRDefault="00D02866">
            <w:pPr>
              <w:pStyle w:val="ConsPlusNormal"/>
              <w:jc w:val="both"/>
            </w:pPr>
            <w:r>
              <w:t xml:space="preserve">Проведена стратификация риска у пациентов с ГКМП и высоким риском ВСС, а также у пациентов с ОГКМП, перенесших САА (европейская модель, шкала HCM Risk-SCD). </w:t>
            </w:r>
            <w:r>
              <w:lastRenderedPageBreak/>
              <w:t>Определены показания к ИКД*** в зависимости от медицинских показаний и при отсутствии медицинских противопоказаний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IB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B</w:t>
            </w:r>
          </w:p>
        </w:tc>
        <w:tc>
          <w:tcPr>
            <w:tcW w:w="907" w:type="dxa"/>
          </w:tcPr>
          <w:p w:rsidR="00D02866" w:rsidRDefault="00D02866">
            <w:pPr>
              <w:pStyle w:val="ConsPlusNormal"/>
              <w:jc w:val="both"/>
            </w:pPr>
            <w:r>
              <w:t>Да/Нет</w:t>
            </w:r>
          </w:p>
        </w:tc>
      </w:tr>
      <w:tr w:rsidR="00D02866">
        <w:tc>
          <w:tcPr>
            <w:tcW w:w="453" w:type="dxa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7</w:t>
            </w:r>
          </w:p>
        </w:tc>
        <w:tc>
          <w:tcPr>
            <w:tcW w:w="4818" w:type="dxa"/>
          </w:tcPr>
          <w:p w:rsidR="00D02866" w:rsidRDefault="00D02866">
            <w:pPr>
              <w:pStyle w:val="ConsPlusNormal"/>
              <w:jc w:val="both"/>
            </w:pPr>
            <w:r>
              <w:t>Проведена терапия бета-адреноблокатором, и/или блокаторами "медленных" кальциевых каналов, и/или АКФ ингибиторами, и/или блокаторами рецепторов ангиотензина II, и/или диуретиками (в режиме монотерапии или в режиме комбинированной терапии) в зависимости от медицинских показаний и при отсутствии медицинских противопоказаний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IC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C</w:t>
            </w:r>
          </w:p>
        </w:tc>
        <w:tc>
          <w:tcPr>
            <w:tcW w:w="907" w:type="dxa"/>
          </w:tcPr>
          <w:p w:rsidR="00D02866" w:rsidRDefault="00D02866">
            <w:pPr>
              <w:pStyle w:val="ConsPlusNormal"/>
              <w:jc w:val="both"/>
            </w:pPr>
            <w:r>
              <w:t>Да/Нет</w:t>
            </w:r>
          </w:p>
        </w:tc>
      </w:tr>
      <w:tr w:rsidR="00D02866">
        <w:tc>
          <w:tcPr>
            <w:tcW w:w="453" w:type="dxa"/>
          </w:tcPr>
          <w:p w:rsidR="00D02866" w:rsidRDefault="00D02866">
            <w:pPr>
              <w:pStyle w:val="ConsPlusNormal"/>
              <w:jc w:val="both"/>
            </w:pPr>
            <w:r>
              <w:t>8</w:t>
            </w:r>
          </w:p>
        </w:tc>
        <w:tc>
          <w:tcPr>
            <w:tcW w:w="4818" w:type="dxa"/>
          </w:tcPr>
          <w:p w:rsidR="00D02866" w:rsidRDefault="00D02866">
            <w:pPr>
              <w:pStyle w:val="ConsPlusNormal"/>
              <w:jc w:val="both"/>
            </w:pPr>
            <w:r>
              <w:t>Проведена стратификация материнского риска беременной пациентки с ГКМП, с использованием модифицированной классификации ВОЗ материнского риска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IC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C</w:t>
            </w:r>
          </w:p>
        </w:tc>
        <w:tc>
          <w:tcPr>
            <w:tcW w:w="907" w:type="dxa"/>
          </w:tcPr>
          <w:p w:rsidR="00D02866" w:rsidRDefault="00D02866">
            <w:pPr>
              <w:pStyle w:val="ConsPlusNormal"/>
              <w:jc w:val="both"/>
            </w:pPr>
            <w:r>
              <w:t>Да/Нет</w:t>
            </w:r>
          </w:p>
        </w:tc>
      </w:tr>
      <w:tr w:rsidR="00D02866">
        <w:tc>
          <w:tcPr>
            <w:tcW w:w="453" w:type="dxa"/>
          </w:tcPr>
          <w:p w:rsidR="00D02866" w:rsidRDefault="00D02866">
            <w:pPr>
              <w:pStyle w:val="ConsPlusNormal"/>
              <w:jc w:val="both"/>
            </w:pPr>
            <w:r>
              <w:t>9</w:t>
            </w:r>
          </w:p>
        </w:tc>
        <w:tc>
          <w:tcPr>
            <w:tcW w:w="4818" w:type="dxa"/>
          </w:tcPr>
          <w:p w:rsidR="00D02866" w:rsidRDefault="00D02866">
            <w:pPr>
              <w:pStyle w:val="ConsPlusNormal"/>
              <w:jc w:val="both"/>
            </w:pPr>
            <w:r>
              <w:t>Пациент с ГКМП находится под диспансерным наблюдением в поликлинике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IB</w:t>
            </w: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</w:p>
        </w:tc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</w:p>
        </w:tc>
        <w:tc>
          <w:tcPr>
            <w:tcW w:w="907" w:type="dxa"/>
          </w:tcPr>
          <w:p w:rsidR="00D02866" w:rsidRDefault="00D02866">
            <w:pPr>
              <w:pStyle w:val="ConsPlusNormal"/>
              <w:jc w:val="both"/>
            </w:pPr>
            <w:r>
              <w:t>Да/Нет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Список литературы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4" w:name="P1035"/>
      <w:bookmarkEnd w:id="4"/>
      <w:r>
        <w:t>1. Габрусенко С.А., Селезнев Д.М., Наумов В.Г. Генетические аспекты гипертрофической кардиомиопатии (обзор литературы)//Практикующий врач. 2000. Т. 18. N 2. С. 2 - 5.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5" w:name="P1036"/>
      <w:bookmarkEnd w:id="5"/>
      <w:r>
        <w:t>2. Шляхто Е.В. и др. Первичные кардиомиопатии, современное представление//Терапевтический архив. 2005. Т. 77. N 12. С. 77 - 83.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6" w:name="P1037"/>
      <w:bookmarkEnd w:id="6"/>
      <w:r>
        <w:t>3. Gersh B.J. et al. 2011 ACCF/AHA guideline for the diagnosis and treatment of hypertrophic cardiomyopathy: Executive summary: A report of the American College of cardiology foundation/American heart association task force on practice guidelines//Circulation. 2011. Vol. 124, N 24. P. 2761 - 2796.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7" w:name="P1038"/>
      <w:bookmarkEnd w:id="7"/>
      <w:r>
        <w:t>4. Elliott P. et al. 2014 ESC guidelines on diagnosis and management of hypertrophic cardiomyopathy: The task force for the diagnosis and management of hypertrophic cardiomyopathy of the European Society of Cardiology (ESC)//Eur. Heart J. 2014. Vol. 35, N 39. P. 2733 - 2779.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8" w:name="P1039"/>
      <w:bookmarkEnd w:id="8"/>
      <w:r>
        <w:t>5. Alfares A.A. et al. Results of clinical genetic testing of 2,912 probands with hypertrophic cardiomyopathy: Expanded panels offer limited additional sensitivity//Genet. Med. 2015. Vol. 17, N 11. P. 880 - 888.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9" w:name="P1040"/>
      <w:bookmarkEnd w:id="9"/>
      <w:r>
        <w:t>6. Coats C.J., Elliott P.M. Genetic biomarkers in hypertrophic cardiomyopathy//Biomark. Med. 2013. Vol. 7, N 4. P. 505 - 516.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0" w:name="P1041"/>
      <w:bookmarkEnd w:id="10"/>
      <w:r>
        <w:t>7. Elliott P., McKenna W.J. Hypertrophic cardiomyopathy//Lancet. 2004. Vol. 363, N 9424. P. 1881 - 1891.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1" w:name="P1042"/>
      <w:bookmarkEnd w:id="11"/>
      <w:r>
        <w:t>8. Kelly M.A. et al. Adaptation and validation of the ACMG/AMP variant classification framework for MYH7-associated inherited cardiomyopathies: Recommendations by ClinGen's Inherited Cardiomyopathy Expert Panel//Genet. Med. 2018. Vol. 20, N 3. P. 351 - 359.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2" w:name="P1043"/>
      <w:bookmarkEnd w:id="12"/>
      <w:r>
        <w:t>9. Kokado H. et al. Clinical features of hypertrophic cardiomyopathy caused by a Lys183 deletion mutation in the cardiac troponin I gene//Circulation. 2000. Vol. 102, N 6. P. 663 - 669.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3" w:name="P1044"/>
      <w:bookmarkEnd w:id="13"/>
      <w:r>
        <w:lastRenderedPageBreak/>
        <w:t>10. Kostareva A. et al. Deletion in TNNI3 gene is associated with restrictive cardiomyopathy//Int. J. Cardiol. 2009. Vol. 131, N 3. P. 410 - 412.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4" w:name="P1045"/>
      <w:bookmarkEnd w:id="14"/>
      <w:r>
        <w:t>11. Maron B.J. Hypertrophic Cardiomyopathy: A Systematic Review//JAMA. 2002. Vol. 287, N 10. P. 1308 - 1320.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5" w:name="P1046"/>
      <w:bookmarkEnd w:id="15"/>
      <w:r>
        <w:t>12. Maron B.J. et al. Moving Beyond the Sarcomere to Explain Heterogeneity in Hypertrophic Cardiomyopathy: JACC Review Topic of the Week//J. Am. Coll. Cardiol. 2019. Vol. 73, N 15. P. 1978 - 1986.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6" w:name="P1047"/>
      <w:bookmarkEnd w:id="16"/>
      <w:r>
        <w:t>13. Mogensen J. et al. Frequency and Clinical Expression of Cardiac Troponin I Mutations in 748 Consecutive Families With Hypertrophic Cardiomyopathy//J. Am. Coll. Cardiol. 2004. Vol. 44. P. 2315 - 2325.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7" w:name="P1048"/>
      <w:bookmarkEnd w:id="17"/>
      <w:r>
        <w:t>14. Селезнев Д.М. и др. Роль мутаций в гене тяжелой цепи сердечного бета-миозина в российской популяции больных с гипертрофической кардиомиопатией//Кардиология. 2005. Т. 45. N 4. С. 15 - 20.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8" w:name="P1049"/>
      <w:bookmarkEnd w:id="18"/>
      <w:r>
        <w:t>15. Туральчук М.В., Новик Г.А., Гудкова А.Я. Особенности течения кардиомиопатий с рестриктивным фенотипом, обусловленных мутациями генов сердечного тропонина I и десмина, и алгоритмы их диагностики//Педиатрическая фармакология. 2011. Т. 8. N 4. С. 112 - 116.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9" w:name="P1050"/>
      <w:bookmarkEnd w:id="19"/>
      <w:r>
        <w:t>16. Burton D. et al. Two mutations in troponin I that cause hypertrophic cardiomyopathy have contrasting effects on cardiac muscle contractility//Biochem. J. 2002. Vol. 362, N 2. P. 443 - 451.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0" w:name="P1051"/>
      <w:bookmarkEnd w:id="20"/>
      <w:r>
        <w:t>17. Zhou N. et al. Whole-exome sequencing identifies rare compound heterozygous mutations in the MYBPC3 gene associated with severe familial hypertrophic cardiomyopathy//Eur. J. Med. Genet. 2018. Vol. 61, N 8. P. 434 - 441.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1" w:name="P1052"/>
      <w:bookmarkEnd w:id="21"/>
      <w:r>
        <w:t>18. Charron P. et al. Accuracy of European diagnostic criteria for familial hypertrophic cardiomyopathy in a genotyped population//Int. J. Cardiol. 2003. Vol. 90, N 1. P. 33 - 38.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2" w:name="P1053"/>
      <w:bookmarkEnd w:id="22"/>
      <w:r>
        <w:t>19. Lopes L.R. et al. Use of high-throughput targeted exome-sequencing to screen for copy number variation in hypertrophic cardiomyopathy//Eur. J. Med. Genet. 2015. Vol. 58, N 11. P. 611 - 616.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3" w:name="P1054"/>
      <w:bookmarkEnd w:id="23"/>
      <w:r>
        <w:t>20. Brignole M. et al. 2013 ESC Guidelines on cardiac pacing and cardiac resynchronization therapy: The Task Force on cardiac pacing and resynchronization therapy of the European Society of Cardiology (ESC). Developed in collaboration with the European Heart Rhythm Association//Europace. 2013. Vol. 15, N 8. P. 1070 - 1118.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4" w:name="P1055"/>
      <w:bookmarkEnd w:id="24"/>
      <w:r>
        <w:t>21. Hiemstra Y.L. et al. Development of and Progression of Overt Heart Failure in Nonobstructive Hypertrophic Cardiomyopathy//Am. J. Cardiol. 2018. Vol. 122, N 4. P. 656 - 662.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5" w:name="P1056"/>
      <w:bookmarkEnd w:id="25"/>
      <w:r>
        <w:t>22. Ho C.Y. et al. The burden of early phenotypes and the influence of wall thickness in hypertrophic cardiomyopathy mutation carriers: Findings from the HCMNet study//JAMA Cardiol. 2017. Vol. 2, N 4. P. 419 - 428.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6" w:name="P1057"/>
      <w:bookmarkEnd w:id="26"/>
      <w:r>
        <w:t>23. Hodatsu A. et al. Compound heterozygosity deteriorates phenotypes of hypertrophic cardiomyopathy with founder MYBPC3 mutation: Evidence from patients and zebrafish models//Am. J. Physiol. - Hear. Circ. Physiol. 2014. Vol. 307, N 11. P. H1594 - H1604.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7" w:name="P1058"/>
      <w:bookmarkEnd w:id="27"/>
      <w:r>
        <w:t>24. Horimoto M. et al. Development of obstructive hypertrophic cardiomyopathy from nonobstructive hypertrophic cardiomyopathy//Am. J. Cardiol. 1998. Vol. 82, N 3. P. 403 - 405.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8" w:name="P1059"/>
      <w:bookmarkEnd w:id="28"/>
      <w:r>
        <w:t>25. Ansari-Lari M.A., Ali S.Z. Fine-Needle Aspiration of Abdominal Fat Pad for Amyloid Detection: A Clinically Useful Test?//Diagn. Cytopathol. 2004. Vol. 30, N 3. P. 178 - 181.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9" w:name="P1060"/>
      <w:bookmarkEnd w:id="29"/>
      <w:r>
        <w:lastRenderedPageBreak/>
        <w:t>26. Canepa M. et al. Comparison of clinical presentation, left ventricular morphology, hemodynamics, and exercise tolerance in obese versus nonobese patients with hypertrophic cardiomyopathy//Am. J. Cardiol. 2013. Vol. 112, N 8. P. 1182 - 1189.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0" w:name="P1061"/>
      <w:bookmarkEnd w:id="30"/>
      <w:r>
        <w:t>27. Charron P. et al. Genetic counselling and testing in cardiomyopathies: A position statement of the European Society of Cardiology Working Group on Myocardial and Pericardial Diseases//Eur. Heart J. 2010. Vol. 31, N 22. P. 2715 - 2728.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1" w:name="P1062"/>
      <w:bookmarkEnd w:id="31"/>
      <w:r>
        <w:t>28. Finocchiaro G. et al. Impact of demographic features, lifestyle, and comorbidities on the clinical expression of hypertrophic cardiomyopathy//J. Am. Heart Assoc. 2017. Vol. 6, N 12. P. e007161.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2" w:name="P1063"/>
      <w:bookmarkEnd w:id="32"/>
      <w:r>
        <w:t>29. Bos J.M., Ommen S.R., Ackerman M.J. Genetics of hypertrophic cardiomyopathy: one, two, or more diseases?//Curr. Opin. Cardiol. 2007. Vol. 22, N 3. P. 193 - 199.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3" w:name="P1064"/>
      <w:bookmarkEnd w:id="33"/>
      <w:r>
        <w:t>30. Richards S. et al. Standards and guidelines for the interpretation of sequence variants: A joint consensus recommendation of the American College of Medical Genetics and Genomics and the Association for Molecular Pathology//Genet. Med. 2015. Vol. 17, N 5. P. 405 - 424.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4" w:name="P1065"/>
      <w:bookmarkEnd w:id="34"/>
      <w:r>
        <w:t>31. Marian A.J., Braunwald E. Hypertrophic cardiomyopathy: Genetics, pathogenesis, clinical manifestations, diagnosis, and therapy//Circ. Res. 2017. Vol. 121, N 7. P. 749 - 770.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5" w:name="P1066"/>
      <w:bookmarkEnd w:id="35"/>
      <w:r>
        <w:t>32. Бокерия Л.А. и др. Экспрессия генов матриксной металлопротеиназы-1 (ММР-1), тканевого ингибитора матриксных металлопротеиназ-1 (TIMP-1), коллагена I и III типов в миокарде больных идиопатической гипертрофической кардиомиопатией//Бюллетень НЦССХ им. А.Н. Бакулева РАМН. 2005. Т. 6. N 4. С. 35 - 42.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6" w:name="P1067"/>
      <w:bookmarkEnd w:id="36"/>
      <w:r>
        <w:t>33. Гудкова А.Я. и др. Гипертрофическая кардиомиопатия. Клинико-морфологические сопоставления//Архив патологии. 2012. Т. 74. N 4. С. 8 - 11.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7" w:name="P1068"/>
      <w:bookmarkEnd w:id="37"/>
      <w:r>
        <w:t>34. Гудкова А.Я. Характеристика течения обструктивной гипертрофической кардиомиопатии у взрослых (обзор литературы и результаты собственных исследований)//Артериальная гипертензия. 2008. Т. 14. N 2, Приложение 2. С. 39 - 49.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8" w:name="P1069"/>
      <w:bookmarkEnd w:id="38"/>
      <w:r>
        <w:t>35. Гудкова А.Я., Шляхто Е.В. Клеточные механизмы гипертрофии миокарда при гипертрофической кардиомиопатии и эссенциальной артериальной гипертензии//Артериальная гипертензия. 2008. Т. 14. N 4. С. 364 - 380.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9" w:name="P1070"/>
      <w:bookmarkEnd w:id="39"/>
      <w:r>
        <w:t>36. Shlyakhto E. V. et al. Cellular aspects of pathogenesis of hypertrophic cardiomyopathy: Role of cardiomyocyte polyploidy and activation of nuclear antigen of the proliferating cell in myocardium//Cell tissue biol. 2007. Vol. 1, N 6. P. 582 - 588.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40" w:name="P1071"/>
      <w:bookmarkEnd w:id="40"/>
      <w:r>
        <w:t>37. Frustaci A., Russo M.A., Chimenti C. Diagnostic contribution of left ventricular endomyocardial biopsy in patients with clinical phenotype of hypertrophic cardiomyopathy//Hum. Pathol. 2013. Vol. 44, N 1. P. 133 - 141.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41" w:name="P1072"/>
      <w:bookmarkEnd w:id="41"/>
      <w:r>
        <w:t>38. Leone O. et al. 2011 Consensus statement on endomyocardial biopsy from the Association for European Cardiovascular Pathology and the Society for Cardiovascular Pathology//Cardiovasc. Pathol. 2012. Vol. 21, N 4. P. 245 - 274.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42" w:name="P1073"/>
      <w:bookmarkEnd w:id="42"/>
      <w:r>
        <w:t>39. Philipson D.J. et al. Emerging pharmacologic and structural therapies for hypertrophic cardiomyopathy//Heart Fail. Rev. 2017. Vol. 22, N 6. P. 879 - 888.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43" w:name="P1074"/>
      <w:bookmarkEnd w:id="43"/>
      <w:r>
        <w:t>40. Roberts R., Sigwart U. Current concepts of the pathogenesis and treatment of hypertrophic cardiomyopathy//Circulation. 2005. Vol. 112, N 2. P. 293 - 296.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44" w:name="P1075"/>
      <w:bookmarkEnd w:id="44"/>
      <w:r>
        <w:t xml:space="preserve">41. Varnava A.M. et al. Hypertrophic cardiomyopathy: The interrelation of disarray, fibrosis and </w:t>
      </w:r>
      <w:r>
        <w:lastRenderedPageBreak/>
        <w:t>small vessel disease//Heart. 2000. Vol. 84, N 5. P. 476 - 482.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45" w:name="P1076"/>
      <w:bookmarkEnd w:id="45"/>
      <w:r>
        <w:t>42. Зайцев В.В. и др. Клиническое значение различных методов оценки миокардиального фиброза при гипертрофической кардиомиопатии//Кардиология. 2020. Т. 60. N 3. С. 44 - 50.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46" w:name="P1077"/>
      <w:bookmarkEnd w:id="46"/>
      <w:r>
        <w:t>43. Arbustini E. et al. The MOGE(S) classification for a phenotype-genotype nomenclature of cardiomyopathy: Endorsed by the world heart federation//J. Am. Coll. Cardiol. 2013. Vol. 62, N 22. P. 2046 - 2072.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47" w:name="P1078"/>
      <w:bookmarkEnd w:id="47"/>
      <w:r>
        <w:t>44. Barcia G. et al. Pitfalls in molecular diagnosis of Friedreich ataxia//Eur. J. Med. Genet. 2018. Vol. 61, N 8. P. 455 - 458.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48" w:name="P1079"/>
      <w:bookmarkEnd w:id="48"/>
      <w:r>
        <w:t>45. Bokhari S. et al. 99mTc-pyrophosphate scintigraphy for differentiating light-chain cardiac amyloidosis from the transthyretin-related familial and senile cardiac amyloidoses//Circ. Cardiovasc. Imaging. 2013. Vol. 6, N 2. P. 195 - 201.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49" w:name="P1080"/>
      <w:bookmarkEnd w:id="49"/>
      <w:r>
        <w:t>46. Charron P. et al. Danon's disease as a cause of hypertrophic cardiomyopathy: A systematic survey//Heart. 2004. Vol. 90, N 8. P. 842 - 846.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50" w:name="P1081"/>
      <w:bookmarkEnd w:id="50"/>
      <w:r>
        <w:t>47. Cook A., Giunti P. Friedreich's ataxia: Clinical features, pathogenesis and management//Br. Med. Bull. 2017. Vol. 124, N 1. P. 19 - 30.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51" w:name="P1082"/>
      <w:bookmarkEnd w:id="51"/>
      <w:r>
        <w:t>48. D'souza A. et al. Localized insulin-derived amyloidosis: A potential pitfall in the diagnosis of systemic amyloidosis by fat aspirate//Am. J. Hematol. 2012. Vol. 87, N 11. P. E131 - 132.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52" w:name="P1083"/>
      <w:bookmarkEnd w:id="52"/>
      <w:r>
        <w:t>49. Dubrey S.W., Hawkins P.N., Falk R.H. Amyloid diseases of the heart: Assessment, diagnosis, and referral//Heart. 2011. Vol. 97, N 1. P. 75 - 84.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53" w:name="P1084"/>
      <w:bookmarkEnd w:id="53"/>
      <w:r>
        <w:t>50. Frustaci A. et al. Evolution of cardiac pathology in classic Fabry disease: Progressive cardiomyocyte enlargement leads to increased cell death and fibrosis, and correlates with severity of ventricular hypertrophy//Int. J. Cardiol. 2017. Vol. 248. P. 257 - 262.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54" w:name="P1085"/>
      <w:bookmarkEnd w:id="54"/>
      <w:r>
        <w:t>51. Monserrat L. et al. Prevalence of Fabry Disease in a Cohort of 508 Unrelated Patients With Hypertrophic Cardiomyopathy//J. Am. Coll. Cardiol. 2007. Vol. 50, N 25. P. 2399 - 2403.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55" w:name="P1086"/>
      <w:bookmarkEnd w:id="55"/>
      <w:r>
        <w:t xml:space="preserve">52. </w:t>
      </w:r>
      <w:r>
        <w:rPr>
          <w:noProof/>
          <w:position w:val="-4"/>
        </w:rPr>
        <w:drawing>
          <wp:inline distT="0" distB="0" distL="0" distR="0">
            <wp:extent cx="1330960" cy="199390"/>
            <wp:effectExtent l="0" t="0" r="0" b="0"/>
            <wp:docPr id="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V., Said G. Familial amyloid polyneuropathy//Lancet Neurol. 2011. Vol. 10, N 12. P. 1086 - 1097.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56" w:name="P1087"/>
      <w:bookmarkEnd w:id="56"/>
      <w:r>
        <w:t>53. Quarta C.C. et al. Defining the diagnosis in echocardiographically suspected senile systemic amyloidosis//JACC Cardiovasc. Imaging. 2012. Vol. 5, N 7. P. 755 - 758.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57" w:name="P1088"/>
      <w:bookmarkEnd w:id="57"/>
      <w:r>
        <w:t>54. European Reference Networks in the Field of Rare Diseases: State of the Art and Future Directions. Third Report [Electronic resource]. 2008. URL: http://www.eucerd.eu/?post_type=document&amp;p=1204.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58" w:name="P1089"/>
      <w:bookmarkEnd w:id="58"/>
      <w:r>
        <w:t>55. Sado D.M. et al. Identification and assessment of anderson-fabry disease by cardiovascular magnetic resonance noncontrast myocardial T1 mapping//Circ. Cardiovasc. Imaging. 2013. Vol. 6, N 3. P. 392 - 398.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59" w:name="P1090"/>
      <w:bookmarkEnd w:id="59"/>
      <w:r>
        <w:t>56. Tsai S.B. et al. Myocardial infarction with "clean coronaries" caused by amyloid light-chain AL amyloidosis: A case report and literature review//Amyloid. 2011. Vol. 18, N 3. P. 160 - 164.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60" w:name="P1091"/>
      <w:bookmarkEnd w:id="60"/>
      <w:r>
        <w:t>57. Vogelsberg H. et al. Cardiovascular Magnetic Resonance in Clinically Suspected Cardiac Amyloidosis. Noninvasive Imaging Compared to Endomyocardial Biopsy//J. Am. Coll. Cardiol. 2008. Vol. 51, N 10. P. 1022 - 1030.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61" w:name="P1092"/>
      <w:bookmarkEnd w:id="61"/>
      <w:r>
        <w:t xml:space="preserve">58. Wilkinson J.D. et al. Outcomes in children with Noonan syndrome and hypertrophic </w:t>
      </w:r>
      <w:r>
        <w:lastRenderedPageBreak/>
        <w:t>cardiomyopathy: A study from the Pediatric Cardiomyopathy Registry//Am. Heart J. 2012. Vol. 164, N 3. P. 442 - 448.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62" w:name="P1093"/>
      <w:bookmarkEnd w:id="62"/>
      <w:r>
        <w:t>59. Yang Z., Vatta M. Danon disease as a cause of autophagic vacuolar myopathy//Congenit. Heart Dis. 2007. Vol. 2, N 6. P. 404 - 409.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63" w:name="P1094"/>
      <w:bookmarkEnd w:id="63"/>
      <w:r>
        <w:t>60. Yang Z. et al. Danon Disease as an Underrecognized Cause of Hypertrophic Cardiomyopathy in Children//Circulation. 2005. Vol. 112, N 11. P. 1612 - 1617.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64" w:name="P1095"/>
      <w:bookmarkEnd w:id="64"/>
      <w:r>
        <w:t>61. Ibrahim M. et al. Modern Management of Systolic Anterior Motion of the Mitral Valve//Eur J Cardiothorac Surg. 2012. Vol. 41. P. 60 - 70.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65" w:name="P1096"/>
      <w:bookmarkEnd w:id="65"/>
      <w:r>
        <w:t>62. Deng L. et al. Numerical simulation study on systolic anterior motion of the mitral valve in hypertrophic obstructive cardiomyopathy//Int. J. Cardiol. 2018. Vol. 266. P. 167 - 173.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66" w:name="P1097"/>
      <w:bookmarkEnd w:id="66"/>
      <w:r>
        <w:t>63. Manabe S. et al. Management of systolic anterior motion of the mitral valve: a mechanism-based approach//Gen. Thorac. Cardiovasc. Surg. 2018. Vol. 66, N 7. P. 379 - 389.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67" w:name="P1098"/>
      <w:bookmarkEnd w:id="67"/>
      <w:r>
        <w:t>64. Ro R. et al. Vector flow mapping in obstructive hypertrophic cardiomyopathy to assess the relationship of early systolic left ventricular flow and the mitral valve//J. Am. Coll. Cardiol. 2014. Vol. 64, N 19. P. 1984 - 1995.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68" w:name="P1099"/>
      <w:bookmarkEnd w:id="68"/>
      <w:r>
        <w:t>65. Hymel B.J., Townsley M.M. Echocardiographic assessment of systolic anterior motion of the mitral valve//Anesth. Analg. 2014. Vol. 118, N 6. P. 1197 - 1201.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69" w:name="P1100"/>
      <w:bookmarkEnd w:id="69"/>
      <w:r>
        <w:t>66. Sherrid M. V. et al. Systolic anterior motion begins at low left ventricular outflow tract velocity in obstructive hypertrophic cardiomyopathy//J. Am. Coll. Cardiol. 2000. Vol. 36, N 4. P. 1344 - 1354.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70" w:name="P1101"/>
      <w:bookmarkEnd w:id="70"/>
      <w:r>
        <w:t>67. Silbiger J.J. Abnormalities of the Mitral Apparatus in Hypertrophic Cardiomyopathy: Echocardiographic, Pathophysiologic, and Surgical Insights//J. Am. Soc. Echocardiogr. 2016. Vol. 29, N 7. P. 622 - 639.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71" w:name="P1102"/>
      <w:bookmarkEnd w:id="71"/>
      <w:r>
        <w:t>68. Shah J.S. et al. Prevalence of exercise-induced left ventricular outflow tract obstruction in symptomatic patients with non-obstructive hypertrophic cardiomyopathy//Heart. 2008. Vol. 94, N 10. P. 1288 - 1294.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72" w:name="P1103"/>
      <w:bookmarkEnd w:id="72"/>
      <w:r>
        <w:t>69. Geske J.B. et al. Variability of left ventricular outflow tract gradient during cardiac catheterization in patients with hypertrophic cardiomyopathy//JACC Cardiovasc. Interv. 2011. Vol. 4, N 6. P. 704 - 709.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73" w:name="P1104"/>
      <w:bookmarkEnd w:id="73"/>
      <w:r>
        <w:t>70. Efthimiadis G.K. et al. Clinical characteristics and natural history of hypertrophic cardiomyopathy with midventricular obstruction//Circ. J. 2013. Vol. 77, N 9. P. 2366 - 2374.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74" w:name="P1105"/>
      <w:bookmarkEnd w:id="74"/>
      <w:r>
        <w:t>71. Minami Y. et al. Clinical implications of midventricular obstruction in patients with hypertrophic cardiomyopathy//J. Am. Coll. Cardiol. 2011. Vol. 57, N 23. P. 2346 - 2355.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75" w:name="P1106"/>
      <w:bookmarkEnd w:id="75"/>
      <w:r>
        <w:t>72. Yan L.R. et al. Clinical characteristics and prognosis of 60 patients with midventricular obstructive hypertrophic cardiomyopathy//J. Cardiovasc. Med. 2015. Vol. 16, N 11. P. 751 - 760.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76" w:name="P1107"/>
      <w:bookmarkEnd w:id="76"/>
      <w:r>
        <w:t>73. Hang D. et al. Combined transaortic and transapical approach to septal myectomy in patients with complex hypertrophic cardiomyopathy//J. Thorac. Cardiovasc. Surg. 2018. Vol. 155, N 5. P. 2096 - 2102.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77" w:name="P1108"/>
      <w:bookmarkEnd w:id="77"/>
      <w:r>
        <w:t>74. Pacheco Claudio C. et al. Why names matter for women: MINOCA/INOCA (myocardial infarction/ischemia and no obstructive coronary artery disease)//Clin. Cardiol. 2018. Vol. 41, N 2. P. 185 - 193.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78" w:name="P1109"/>
      <w:bookmarkEnd w:id="78"/>
      <w:r>
        <w:lastRenderedPageBreak/>
        <w:t>75. Аверкина Н.В. и др. Оценка перфузии миокарда у больных с гипертрофической кардиомиопатией в сопоставлении с клиническими и эхокардиографическими данными//Терапевтический архив. 2003. Т. 75. N 4. С. 20 - 25.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79" w:name="P1110"/>
      <w:bookmarkEnd w:id="79"/>
      <w:r>
        <w:t>76. Аверков О.В. и др. Дифференцированный подход в диагностике, формулировке диагноза, ведении больных и статистическом учете инфаркта миокарда 2 типа (согласованная позиция)//Российский кардиологический журнал. 2019. Т. 24. N 6. С. 7 - 21.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80" w:name="P1111"/>
      <w:bookmarkEnd w:id="80"/>
      <w:r>
        <w:t>77. Каплунова В.Ю. и др. Гипертрофическая кардиомиопатия и ишемическая болезнь сердца. Варианты сочетанной патологии//Кардиология. 2017. Т. 57. N 12. С. 16 - 24.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78. Костин С.И. Морфологические и морфометрические особенности гипертрофической кардиомиопатии//Архив патологии. 1989. Т. 51. N 1. С. 47 - 52.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81" w:name="P1113"/>
      <w:bookmarkEnd w:id="81"/>
      <w:r>
        <w:t>79. Мухарлямов Н. Кардиомиопатии. Москва, 1990. 283 с. с.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80. Aletras A.H. et al. Heterogeneity of intramural function in hypertrophic cardiomyopathy mechanistic insights from MRI late gadolinium enhancement and high-resolution displacement encoding with stimulated echoes strain maps//Circ. Cardiovasc. Imaging. 2011. Vol. 4, N 4. P. 425 - 434.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81. Camici P.G., Olivotto I., Rimoldi O.E. The coronary circulation and blood flow in left ventricular hypertrophy//J. Mol. Cell. Cardiol. 2012. Vol. 52, N 4. P. 857 - 864.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82" w:name="P1116"/>
      <w:bookmarkEnd w:id="82"/>
      <w:r>
        <w:t>82. Einarsen E. et al. Comparison of Frequency of Ischemic Cardiovascular Events in Patients With Aortic Stenosis With Versus Without Asymmetric Septal Hypertrophy (from the SEAS Trial)//Am. J. Cardiol. 2017. Vol. 119, N 7. P. 1082 - 1087.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83. </w:t>
      </w:r>
      <w:r>
        <w:rPr>
          <w:noProof/>
          <w:position w:val="-4"/>
        </w:rPr>
        <w:drawing>
          <wp:inline distT="0" distB="0" distL="0" distR="0">
            <wp:extent cx="304165" cy="199390"/>
            <wp:effectExtent l="0" t="0" r="0" b="0"/>
            <wp:docPr id="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A. et al. Histopathological comparison of intramural coronary artery remodeling and myocardial fibrosis in obstructive versus end-stage hypertrophic cardiomyopathy//Int. J. Cardiol. 2019. Vol. 291. P. 77 - 82.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83" w:name="P1118"/>
      <w:bookmarkEnd w:id="83"/>
      <w:r>
        <w:t>84. Kwon D.H. et al. Cardiac Magnetic Resonance Detection of Myocardial Scarring in Hypertrophic Cardiomyopathy. Correlation With Histopathology and Prevalence of Ventricular Tachycardia//J. Am. Coll. Cardiol. 2009. Vol. 54, N 3. P. 242 - 249.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84" w:name="P1119"/>
      <w:bookmarkEnd w:id="84"/>
      <w:r>
        <w:t>85. Maron M.S. et al. The Case for Myocardial Ischemia in Hypertrophic Cardiomyopathy//J. Am. Coll. Cardiol. 2009. Vol. 54, N 9. P. 866 - 875.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85" w:name="P1120"/>
      <w:bookmarkEnd w:id="85"/>
      <w:r>
        <w:t>86. Mundhenke M., Schwartzkopff B., Strauer B.E. Structural analysis of arteriolar and myocardial remodelling in the subendocardial region of patients with hypertensive heart disease and hypertrophic cardiomyopathy//Virchows Arch. 1997. Vol. 431, N 4. P. 265 - 273.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86" w:name="P1121"/>
      <w:bookmarkEnd w:id="86"/>
      <w:r>
        <w:t>87. Nakamura T. et al. Increased plasma brain natriuretic peptide level as a guide for silent myocardial ischemia in patients with non-obstructive hypertrophic cardiomyopathy//J. Am. Coll. Cardiol. 2002. Vol. 39, N 10. P. 1657 - 1663.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87" w:name="P1122"/>
      <w:bookmarkEnd w:id="87"/>
      <w:r>
        <w:t>88. Raphael C.E. et al. Mechanisms of Myocardial Ischemia in Hypertrophic Cardiomyopathy: Insights From Wave Intensity Analysis and Magnetic Resonance//J. Am. Coll. Cardiol. 2016. Vol. 68, N 15. P. 1651 - 1660.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88" w:name="P1123"/>
      <w:bookmarkEnd w:id="88"/>
      <w:r>
        <w:t xml:space="preserve">89. </w:t>
      </w:r>
      <w:r>
        <w:rPr>
          <w:noProof/>
          <w:position w:val="-6"/>
        </w:rPr>
        <w:drawing>
          <wp:inline distT="0" distB="0" distL="0" distR="0">
            <wp:extent cx="555625" cy="220345"/>
            <wp:effectExtent l="0" t="0" r="0" b="0"/>
            <wp:docPr id="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R. et al. Myocardial blood flow and left ventricular functional reserve in hypertrophic cardiomyopathy: a 13NH3 gated PET study//Eur. J. Nucl. Med. Mol. Imaging. 2017. Vol. 44, N 5. P. 866 - 875.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89" w:name="P1124"/>
      <w:bookmarkEnd w:id="89"/>
      <w:r>
        <w:t>90. Shin Y.J. et al. Clinical significance of evaluating coronary atherosclerosis in adult patients with hypertrophic cardiomyopathy who have chest pain//Eur. Radiol. 2019. Vol. 29, N 9. P. 4593 - 4602.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90" w:name="P1125"/>
      <w:bookmarkEnd w:id="90"/>
      <w:r>
        <w:lastRenderedPageBreak/>
        <w:t>91. Liu W., Sun D., Yang J. Diastolic Dysfunction of Hypertrophic Cardiomyopathy Genotype-Positive Subjects Without Hypertrophy Is Detected by Tissue Doppler Imaging: A Systematic Review and Meta-analysis: A//J. Ultrasound Med. 2017. Vol. 36, N 10. P. 2093 - 2103.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91" w:name="P1126"/>
      <w:bookmarkEnd w:id="91"/>
      <w:r>
        <w:t>92. Covella M. et al. Mechanism of Progressive Heart Failure and Significance of Pulmonary Hypertension in Obstructive Hypertrophic Cardiomyopathy//Circ. Hear. Fail. 2017. Vol. 10, N 4. P. e003689.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92" w:name="P1127"/>
      <w:bookmarkEnd w:id="92"/>
      <w:r>
        <w:t>93. Germans T. et al. How do hypertrophic cardiomyopathy mutations affect myocardial function in carriers with normal wall thickness? Assessment with cardiovascular magnetic resonance//J. Cardiovasc. Magn. Reson. 2010. Vol. 12, N 1. P. 13.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93" w:name="P1128"/>
      <w:bookmarkEnd w:id="93"/>
      <w:r>
        <w:t>94. Huang X. et al. Assessment of left ventricular systolic and diastolic abnormalities in patients with hypertrophic cardiomyopathy using real-time three-dimensional echocardiography and two-dimensional speckle tracking imaging//Cardiovasc. Ultrasound. 2018. Vol. 16, N 1. P. 23.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94" w:name="P1129"/>
      <w:bookmarkEnd w:id="94"/>
      <w:r>
        <w:t>95. Matsumura Y. et al. Left ventricular diastolic function assessed using Doppler tissue imaging in patients with hypertrophic cardiomyopathy: Relation to symptoms and exercise capacity//Heart. 2002. Vol. 87, N 3. P. 247 - 251.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95" w:name="P1130"/>
      <w:bookmarkEnd w:id="95"/>
      <w:r>
        <w:t>96. Бокерия Л.А., Борисов К.В., Синев А.Ф. Улучшение диастолической функции левого и правого желудочков сердца после хирургической коррекции гипертрофической обструктивной кардиомиопатии при помощи оригинального способа//Грудная и сердечно-сосудистая хирургия. 1999. Т. 4. С. 4 - 10.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96" w:name="P1131"/>
      <w:bookmarkEnd w:id="96"/>
      <w:r>
        <w:t>97. Harris K.M. et al. Prevalence, clinical profile, and significance of left ventricular remodeling in the end-stage phase of hypertrophic cardiomyopathy//Circulation. 2006. Vol. 114, N 3. P. 216 - 225.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97" w:name="P1132"/>
      <w:bookmarkEnd w:id="97"/>
      <w:r>
        <w:t>98. Biagini E. et al. Prognostic Implications of the Doppler Restrictive Filling Pattern in Hypertrophic Cardiomyopathy//Am. J. Cardiol. 2009. Vol. 104, N 12. P. 1727 - 1731.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98" w:name="P1133"/>
      <w:bookmarkEnd w:id="98"/>
      <w:r>
        <w:t>99. Bravo P.E. et al. Late gadolinium enhancement confined to the right ventricular insertion points in hypertrophic cardiomyopathy: An intermediate stage phenotype?//Eur. Heart J. Cardiovasc. Imaging. 2016. Vol. 17, N 3. P. 293 - 300.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100. </w:t>
      </w:r>
      <w:r>
        <w:rPr>
          <w:noProof/>
          <w:position w:val="-4"/>
        </w:rPr>
        <w:drawing>
          <wp:inline distT="0" distB="0" distL="0" distR="0">
            <wp:extent cx="754380" cy="199390"/>
            <wp:effectExtent l="0" t="0" r="0" b="0"/>
            <wp:docPr id="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A. et al. Comparison of prevalence, clinical course, and pathological findings of left ventricular systolic impairment versus normal systolic function in patients with hypertrophic cardiomyopathy//Am. J. Cardiol. 2011. Vol. 108, N 4. P. 548 - 555.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99" w:name="P1135"/>
      <w:bookmarkEnd w:id="99"/>
      <w:r>
        <w:t>101. Melacini P. et al. Clinicopathological profiles of progressive heart failure in hypertrophic cardiomyopathy//Eur. Heart J. 2010. Vol. 31, N 17. P. 2111 - 2123.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00" w:name="P1136"/>
      <w:bookmarkEnd w:id="100"/>
      <w:r>
        <w:t>102. Maron M.S. et al. Right Ventricular Involvement in Hypertrophic Cardiomyopathy//Am. J. Cardiol. 2007. Vol. 100, N 8. P. 1293 - 1298.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01" w:name="P1137"/>
      <w:bookmarkEnd w:id="101"/>
      <w:r>
        <w:t>103. Falcone D.M., Moore D., Lambert E.C. Idiopathic hypertrophic cardiomyopathy involving the right ventricle.//Am. J. Cardiol. 1967. Vol. 19, N 5. P. 735 - 740.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02" w:name="P1138"/>
      <w:bookmarkEnd w:id="102"/>
      <w:r>
        <w:t>104. Shimizu M. et al. Echocardiographic assessment of right ventricular obstruction in hypertrophic cardiomyopathy//Circ. J. 2003. Vol. 67, N 10. P. 855 - 860.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03" w:name="P1139"/>
      <w:bookmarkEnd w:id="103"/>
      <w:r>
        <w:t>105. Бокерия Л.А., Борисов К.В. Обструктивная гипертрофическая кардиомиопатия: методы хирургической коррекции//Грудная и сердечно-сосудистая хирургия. 1997. Т. 1. С. 61 - 65.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04" w:name="P1140"/>
      <w:bookmarkEnd w:id="104"/>
      <w:r>
        <w:t xml:space="preserve">106. Бокерия Л.А. и др. Результаты медикаментозного и хирургического лечения гипертрофической кардиомиопатии с обструкцией выводных отделов левого и правого </w:t>
      </w:r>
      <w:r>
        <w:lastRenderedPageBreak/>
        <w:t>желудочков сердца//Грудная и сердечно-сосудистая хирургия. 2004. N 2. С. 4 - 9.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107. Бокерия Л.А. и др. Хирургическая коррекция ранее неоперабельных форм гипертрофической обструктивной кардиомиопатии//Грудная и сердечно-сосудистая хирургия. 1999. Т. 6. С. 130 - 136.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05" w:name="P1142"/>
      <w:bookmarkEnd w:id="105"/>
      <w:r>
        <w:t>108. Pagourelias E.D. et al. Prognostic Value of Right Ventricular Diastolic Function Indices in Hypertrophic Cardiomyopathy//Eur. J. Echocardiogr. 2011. Vol. 12, N 11. P. 809 - 817.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06" w:name="P1143"/>
      <w:bookmarkEnd w:id="106"/>
      <w:r>
        <w:t>109. Shah J.P. et al. Prevalence and Prognostic Significance of Right Ventricular Dysfunction in Patients With Hypertrophic Cardiomyopathy//Am. J. Cardiol. 2018. Vol. 122, N 11. P. 1932 - 1938.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07" w:name="P1144"/>
      <w:bookmarkEnd w:id="107"/>
      <w:r>
        <w:t>110. Кактурский Л. Внезапная смерть (клиническая морфология). Москва, 2000. 126 с. с.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08" w:name="P1145"/>
      <w:bookmarkEnd w:id="108"/>
      <w:r>
        <w:t>111. Ревишвили А.Ш. и др. Клинические рекомендации по проведению электрофизиологических исследований, катетерной абляции и применению имплантируемых антиаритмических устройств. Москва, 2017. 701 с. с.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09" w:name="P1146"/>
      <w:bookmarkEnd w:id="109"/>
      <w:r>
        <w:t>112. Adabag A.S. et al. Spectrum and prognostic significance of arrhythmias on ambulatory Holter electrocardiogram in hypertrophic cardiomyopathy//J. Am. Coll. Cardiol. 2005. Vol. 45, N 5. P. 697 - 704.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10" w:name="P1147"/>
      <w:bookmarkEnd w:id="110"/>
      <w:r>
        <w:t>113. Zipes D.P. et al. ACC/AHA/ESC 2006 guidelines for management of patients with ventricular arrhythmias and the prevention of sudden cardiac death//Europace. 2006. Vol. 8, N 9. P. 746 - 837.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11" w:name="P1148"/>
      <w:bookmarkEnd w:id="111"/>
      <w:r>
        <w:t>114. Czosek R.J. et al. Arrhythmic Burden and Ambulatory Monitoring of Pediatric Patients with Cardiomyopathy.//Pacing Clin. Electrophysiol. 2016. Vol. 39, N 5. P. 443 - 451.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12" w:name="P1149"/>
      <w:bookmarkEnd w:id="112"/>
      <w:r>
        <w:t>115. Desai M.Y., Mentias A. Risk stratification in hypertrophic cardiomyopathy//Aging (Albany. NY). 2019. Vol. 11, N 6. P. 1617 - 1618.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13" w:name="P1150"/>
      <w:bookmarkEnd w:id="113"/>
      <w:r>
        <w:t>116. Elliott P.M. et al. Sudden death in hypertrophic cardiomyopathy: Identification of high risk patients//J. Am. Coll. Cardiol. 2000. Vol. 36, N 7. P. 2212 - 2218.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14" w:name="P1151"/>
      <w:bookmarkEnd w:id="114"/>
      <w:r>
        <w:t>117. Goyal V., Jassal D.S., Dhalla N.S. Pathophysiology and prevention of sudden cardiac death//Can. J. Physiol. Pharmacol. 2015. Vol. 94, N 3. P. 237 - 244.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15" w:name="P1152"/>
      <w:bookmarkEnd w:id="115"/>
      <w:r>
        <w:t>118. Marrakchi S. et al. Risk stratification in hypertrophic cardiomyopathy//Herz. 2020. Vol. 45, N 1. P. 50 - 64.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119. Weissler-Snir A. et al. Prevention of Sudden Death in Hypertrophic Cardiomyopathy: Bridging the Gaps in Knowledge//Eur Hear. J. 2017. Vol. 38, N 22. P. 1728 - 1737.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120. Weissler-Snir A. et al. Usefulness of 14-Day Holter for Detection of Nonsustained Ventricular Tachycardia in Patients With Hypertrophic Cardiomyopathy//Am. J. Cardiol. 2016. Vol. 118, N 8. P. 1258 - 1263.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16" w:name="P1155"/>
      <w:bookmarkEnd w:id="116"/>
      <w:r>
        <w:t>121. Goff Z.D., Calkins H. Sudden death related cardiomyopathies - Hypertrophic cardiomyopathy//Prog. Cardiovasc. Dis. 2019. Vol. 62, N 3. P. 212 - 216.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17" w:name="P1156"/>
      <w:bookmarkEnd w:id="117"/>
      <w:r>
        <w:t>122. Bois J.P. et al. Relation between temperature extremes and symptom exacerbation in patients with hypertrophic cardiomyopathy//Am. J. Cardiol. 2016. Vol. 117, N 6. P. 961 - 965.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18" w:name="P1157"/>
      <w:bookmarkEnd w:id="118"/>
      <w:r>
        <w:t>123. Haghjoo M. et al. Predictors of syncope in patients with hypertrophic cardiomyopathy//PACE - Pacing Clin. Electrophysiol. 2009. Vol. 32, N 5. P. 642 - 647.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124. </w:t>
      </w:r>
      <w:r>
        <w:rPr>
          <w:noProof/>
          <w:position w:val="-6"/>
        </w:rPr>
        <w:drawing>
          <wp:inline distT="0" distB="0" distL="0" distR="0">
            <wp:extent cx="712470" cy="220345"/>
            <wp:effectExtent l="0" t="0" r="0" b="0"/>
            <wp:docPr id="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H. et al. Syncope in hypertrophic (obstructive) cardiomyopathy//Herzschrittmachertherapie und Elektrophysiologie. 2018. Vol. 29, N 2. P. 178 - 182.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19" w:name="P1159"/>
      <w:bookmarkEnd w:id="119"/>
      <w:r>
        <w:lastRenderedPageBreak/>
        <w:t>125. Williams L., Frenneaux M. Syncope in Hypertrophic Cardiomyopathy: Mechanisms and Consequences for Treatment//Europace. 2007. Vol. 9, N 9. P. 817 - 822.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20" w:name="P1160"/>
      <w:bookmarkEnd w:id="120"/>
      <w:r>
        <w:t>126. Farhad H. et al. Left Atrial structure and function in hypertrophic cardiomyopathy sarcomere mutation carriers with and without left ventricular hypertrophy//J. Cardiovasc. Magn. Reson. 2017. Vol. 19, N 1. P. 107.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21" w:name="P1161"/>
      <w:bookmarkEnd w:id="121"/>
      <w:r>
        <w:t>127. Burstein B., Nattel S. Atrial Fibrosis: Mechanisms and Clinical Relevance in Atrial Fibrillation//J. Am. Coll. Cardiol. 2008. Vol. 51, N 8. P. 802 - 809.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22" w:name="P1162"/>
      <w:bookmarkEnd w:id="122"/>
      <w:r>
        <w:t>128. Philipson D.J., Rader F., Siegel R.J. Risk factors for atrial fibrillation in hypertrophic cardiomyopathy//Eur. J. Prev. Cardiol. 2019. P. doi: 10.1177/2047487319828474. Epub ahead of print.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23" w:name="P1163"/>
      <w:bookmarkEnd w:id="123"/>
      <w:r>
        <w:t>129. Garg L. et al. Atrial fibrillation in hypertrophic cardiomyopathy: prevalence, clinical impact, and management//Heart Fail. Rev. 2019. Vol. 24, N 2. P. 189 - 197.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24" w:name="P1164"/>
      <w:bookmarkEnd w:id="124"/>
      <w:r>
        <w:t>130. Killu A.M. et al. Cardiac Resynchronization Therapy in Patients With End-Stage Hypertrophic Cardiomyopathy//Europace. 2018. Vol. 20, N 1. P. 82 - 88.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25" w:name="P1165"/>
      <w:bookmarkEnd w:id="125"/>
      <w:r>
        <w:t>131. Kirchhof P. et al. 2016 ESC Guidelines for the Management of Atrial Fibrillation Developed in Collaboration With EACTS//Eur. Heart J. 2016. Vol. 37. P. 2893 - 2962.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26" w:name="P1166"/>
      <w:bookmarkEnd w:id="126"/>
      <w:r>
        <w:t>132. Maron B.J. et al. Clinical Spectrum and Management of Heart Failure in Hypertrophic Cardiomyopathy//JACC Hear. Fail. Elsevier Inc., 2018. Vol. 6, N 5. P. 353 - 363.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27" w:name="P1167"/>
      <w:bookmarkEnd w:id="127"/>
      <w:r>
        <w:t xml:space="preserve">133. </w:t>
      </w:r>
      <w:r>
        <w:rPr>
          <w:noProof/>
          <w:position w:val="-4"/>
        </w:rPr>
        <w:drawing>
          <wp:inline distT="0" distB="0" distL="0" distR="0">
            <wp:extent cx="681355" cy="199390"/>
            <wp:effectExtent l="0" t="0" r="0" b="0"/>
            <wp:docPr id="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355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P.M. et al. Heart failure in cardiomyopathies: a position paper from the Heart Failure Association of the European Society of Cardiology//Eur. J. Heart Fail. 2019. Vol. 21, N 5. P. 553 - 576.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28" w:name="P1168"/>
      <w:bookmarkEnd w:id="128"/>
      <w:r>
        <w:t>134. Maron B.J. et al. Epidemiology of Hypertrophic Cardiomyopathy-Related Death//Circulation. 2000. Vol. 102, N 8. P. 858 - 864.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29" w:name="P1169"/>
      <w:bookmarkEnd w:id="129"/>
      <w:r>
        <w:t>135. Semsarian C. et al. New perspectives on the prevalence of hypertrophic cardiomyopathy//J. Am. Coll. Cardiol. 2015. Vol. 65, N 12. P. 1249 - 1254.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30" w:name="P1170"/>
      <w:bookmarkEnd w:id="130"/>
      <w:r>
        <w:t>136. Amano Y. et al. MRI classification of asymmetric septal hypertrophic cardiomyopathy and its relation to the presence of risk factors//Int. J. Cardiovasc. Imaging. 2012. Vol. 28, N 8. P. 2019 - 2025.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31" w:name="P1171"/>
      <w:bookmarkEnd w:id="131"/>
      <w:r>
        <w:t>137. Geske J.B., Ommen S.R., Gersh B.J. Hypertrophic Cardiomyopathy: Clinical Update//JACC Hear. Fail. 2018. Vol. 6, N 5. P. 364 - 375.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32" w:name="P1172"/>
      <w:bookmarkEnd w:id="132"/>
      <w:r>
        <w:t>138. Дземешкевич С.Л. и др. Анатомические и морфологические признаки диффузно-генерализованной формы гипертрофической кардиомиопатии//Российский кардиологический журнал. 2015. Т. 5. N 121. С. 58 - 63.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33" w:name="P1173"/>
      <w:bookmarkEnd w:id="133"/>
      <w:r>
        <w:t>139. Gudkova A. et al. Diagnostic challenge in desmin cardiomyopathy with transformation of clinical phenotypes//Pediatr. Cardiol. 2013. Vol. 34, N 2. P. 467 - 470.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34" w:name="P1174"/>
      <w:bookmarkEnd w:id="134"/>
      <w:r>
        <w:t>140. Rowin E.J. et al. Interaction of Adverse Disease Related Pathways in Hypertrophic Cardiomyopathy//Am. J. Cardiol. 2017. Vol. 120, N 12. P. 2256 - 2264.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35" w:name="P1175"/>
      <w:bookmarkEnd w:id="135"/>
      <w:r>
        <w:t>141. Габрусенко С.А. и др. Клинико-гемодинамический статус и сердечные натрийуретические пептиды в плазме больных гипертрофической кардиомиопатией//Кардиологический вестник (Бюллетень РКНПК). 2006. Т. 1. N 2. С. 25 - 31.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142. Стрельцова А.А., Гудкова А.Я., Костарева А.А. Фибрилляция предсердий при гипертрофической кардиомиопатии: современные аспекты эпидемиологии, факторов риска, </w:t>
      </w:r>
      <w:r>
        <w:lastRenderedPageBreak/>
        <w:t>патогенеза и фармакотерапии//Cons. Medicum. 2018. Т. 20. N 5. С. 34 - 39.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143. Стрельцова А.А. и др. Полиморфный вариант rs1739843 гена белка теплового шока 7 (HSPB7) и его связь с вариантами клинического течения и исходами у пациентов с гипертрофической кардиомиопатией (результаты 10-летнего наблюдения)//Российский кардиологический журнал. 2019. N 10. С. 7 - 15.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36" w:name="P1178"/>
      <w:bookmarkEnd w:id="136"/>
      <w:r>
        <w:t>144. Binder J. et al. Echocardiography-guided genetic testing in hypertrophic cardiomyopathy: Septal morphological features predict the presence of myofilament mutations//Mayo Clin. Proc. 2006. Vol. 81, N 4. P. 459 - 467.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37" w:name="P1179"/>
      <w:bookmarkEnd w:id="137"/>
      <w:r>
        <w:t>145. Elliott P., Spirito P. Prevention of hypertrophic cardiomyopathy-related deaths: Theory and practice//Heart. 2008. Vol. 94, N 10. P. 1269 - 1275.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38" w:name="P1180"/>
      <w:bookmarkEnd w:id="138"/>
      <w:r>
        <w:t>146. Elliott P.M. et al. Historical trends in reported survival rates in patients with hypertrophic cardiomyopathy//Heart. 2006. Vol. 92, N 6. P. 785 - 791.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39" w:name="P1181"/>
      <w:bookmarkEnd w:id="139"/>
      <w:r>
        <w:t>147. Kawai C. et al. Hypertrophic obstructive and non-obstructive cardiomyopathy in Japan. Diagnosis of the disease with special reference to endomyocardial catheter biopsy//Eur Hear. J. 1983. Vol. 4, N 1. P. 121 - 125.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40" w:name="P1182"/>
      <w:bookmarkEnd w:id="140"/>
      <w:r>
        <w:t>148. Kitaoka H. et al. Hypertrophic Cardiomyopathy With Progression From Apical Hypertrophy to Asymmetrical Septal Hypertrophy: A Case Report//J. Cardiol. 2005. Vol. 45, N 4. P. 155 - 159.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41" w:name="P1183"/>
      <w:bookmarkEnd w:id="141"/>
      <w:r>
        <w:t>149. Klues H.G., Schiffers A., Maron B.J. Phenotypic spectrum and patterns of left ventricular hypertrophy in hypertrophic cardiomyopathy: Morphologic observations and significance as assessed by two-dimensional echocardiography in 600 patients//J. Am. Coll. Cardiol. 1995. Vol. 26, N 7. P. 1699 - 1708.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42" w:name="P1184"/>
      <w:bookmarkEnd w:id="142"/>
      <w:r>
        <w:t>150. Maron B.J. et al. Clinical profile of stroke in 900 patients with hypertrophic cardiomyopathy//J. Am. Coll. Cardiol. 2002. Vol. 39, N 2. P. 301 - 307.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43" w:name="P1185"/>
      <w:bookmarkEnd w:id="143"/>
      <w:r>
        <w:t>151. Thaman R. et al. Progressive left ventricular remodeling in patients with hypertrophic cardiomyopathy and severe left ventricular hypertrophy//J. Am. Coll. Cardiol. 2004. Vol. 44, N 2. P. 398 - 405.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44" w:name="P1186"/>
      <w:bookmarkEnd w:id="144"/>
      <w:r>
        <w:t>152. Lancellotti P. et al. The Clinical Use of Stress Echocardiography in Non-Ischaemic Heart Disease: Recommendations from the European Association of Cardiovascular Imaging and the American Society of Echocardiography.//J. Am. Soc. Echocardiogr. 2017. Vol. 30, N 2. P. 101 - 138.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45" w:name="P1187"/>
      <w:bookmarkEnd w:id="145"/>
      <w:r>
        <w:t>153. Parato V.M. et al. Echocardiographic diagnosis of the different phenotypes of hypertrophic cardiomyopathy//Cardiovasc. Ultrasound. 2016. Vol. 14, N 1. P. 30.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46" w:name="P1188"/>
      <w:bookmarkEnd w:id="146"/>
      <w:r>
        <w:t>154. Lambiase P.D. et al. Worldwide Experience With a Totally Subcutaneous Implantable Defibrillator: Early Results From the EFFORTLESS S-ICD Registry//Eur Hear. J. 2014. Vol. 35, N 25. P. 1657 - 1665.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47" w:name="P1189"/>
      <w:bookmarkEnd w:id="147"/>
      <w:r>
        <w:t>155. Ponikowski P. et al. 2016 ESC Guidelines for the diagnosis and treatment of acute and chronic heart failure: The Task Force for the diagnosis and treatment of acute and chronic heart failure of the European Society of Cardiology (ESC). Developed with the special contribution//Eur. J. Heart Fail. 2016. Vol. 18, N 8. P. 891 - 975.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48" w:name="P1190"/>
      <w:bookmarkEnd w:id="148"/>
      <w:r>
        <w:t>156. Maron B.J. et al. American College of Cardiology/European Society of Cardiology Clinical Expert Consensus Document on Hypertrophic Cardiomyopathy: A report of the American College of Cardiology Foundation Task Force on Clinical Expert Consensus Documents and the European S//Eur. Heart J. 2003. Vol. 24, N 21. P. 1965 - 1991.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49" w:name="P1191"/>
      <w:bookmarkEnd w:id="149"/>
      <w:r>
        <w:lastRenderedPageBreak/>
        <w:t>157. Barrett M.J., Ayub B., Martinez M.W. Cardiac auscultation in sports medicine: Strategies to improve clinical care//Curr. Sports Med. Rep. 2012. Vol. 11, N 2. P. 78 - 84.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50" w:name="P1192"/>
      <w:bookmarkEnd w:id="150"/>
      <w:r>
        <w:t>158. Cantwell J.D. Preparticipation physical evaluation: Getting to the heart of the matter//Med. Sci. Sports Exerc. 1998. Vol. 30, N 10. P. 341 - 344.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159. Efthimiadis G.K. et al. Prevalence and Clinical Outcomes of Incidentally Diagnosed Hypertrophic Cardiomyopathy//Am. J. Cardiol. 2010. Vol. 105, N 10. P. 1445 - 1450.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51" w:name="P1194"/>
      <w:bookmarkEnd w:id="151"/>
      <w:r>
        <w:t>160. Harmon K.G., Zigman M., Drezner J.A. The effectiveness of screening history, physical exam, and ECG to detect potentially lethal cardiac disorders in athletes: A systematic review/meta-analysis//J. Electrocardiol. 2015. Vol. 48, N 3. P. 329 - 338.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52" w:name="P1195"/>
      <w:bookmarkEnd w:id="152"/>
      <w:r>
        <w:t>161. Raviele A. et al. Management of Patients With Palpitations: A Position Paper From the European Heart Rhythm Association//Europace. 2011. Vol. 13, N 7. P. 920 - 934.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53" w:name="P1196"/>
      <w:bookmarkEnd w:id="153"/>
      <w:r>
        <w:t>162. Attenhofer Jost C.H. et al. Echocardiography in the evaluation of systolic murmurs of unknown cause//Am. J. Med. 2000. Vol. 108, N 8. P. 614 - 620.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54" w:name="P1197"/>
      <w:bookmarkEnd w:id="154"/>
      <w:r>
        <w:t>163. Rapezzi C. et al. Diagnostic work-up in cardiomyopathies: bridging the gap between clinical phenotypes and final diagnosis. A position statement from the ESC Working Group on Myocardial and Pericardial Diseases//Eur Hear. J. 2013. Vol. 34. P. 1448 - 1458.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55" w:name="P1198"/>
      <w:bookmarkEnd w:id="155"/>
      <w:r>
        <w:t>164. Rapezzi C. et al. Disease profile and differential diagnosis of hereditary transthyretin-related amyloidosis with exclusively cardiac phenotype: an Italian perspective//Eur Hear. J. 2013. Vol. 34, N 7. P. 520 - 528.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165. Sarkozy A., Digilio M.C., Dallapiccola B. Leopard syndrome//Orphanet J. Rare Dis. 2008. Vol. 3, N 1. P. 13.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56" w:name="P1200"/>
      <w:bookmarkEnd w:id="156"/>
      <w:r>
        <w:t>166. Scaglia F. et al. Clinical Spectrum, Morbidity, and Mortality in 113 Pediatric Patients with Mitochondrial Disease//Pediatrics. 2004. Vol. 114, N 4. P. 925 - 931.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57" w:name="P1201"/>
      <w:bookmarkEnd w:id="157"/>
      <w:r>
        <w:t>167. Pagourelias E.D. et al. Efficacy of various "classic" echocardiographic and laboratory indices in distinguishing the "gray zone" between athlete's heart and hypertrophic cardiomyopathy: A pilot study//Echocardiography. 2013. Vol. 30, N 2. P. 131 - 139.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58" w:name="P1202"/>
      <w:bookmarkEnd w:id="158"/>
      <w:r>
        <w:t>168. Coutu M. et al. Cardiac transplantation for hypertrophic cardiomyopathy: a valid therapeutic option.//J. Heart Lung Transplant. 2004. Vol. 23, N 4. P. 413 - 417.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59" w:name="P1203"/>
      <w:bookmarkEnd w:id="159"/>
      <w:r>
        <w:t>169. Zhang C., Huang X., Li J. Light chain amyloidosis: Where are the light chains from and how they play their pathogenic role?//Blood Rev. 2017. Vol. 31, N 4. P. 261 - 270.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60" w:name="P1204"/>
      <w:bookmarkEnd w:id="160"/>
      <w:r>
        <w:t>170. Ingles J. et al. Nonfamilial Hypertrophic Cardiomyopathy: Prevalence, Natural History, and Clinical Implications//Circ. Cardiovasc. Genet. 2017. Vol. 10, N 2. P. e001620.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61" w:name="P1205"/>
      <w:bookmarkEnd w:id="161"/>
      <w:r>
        <w:t>171. Maron B.J., Pelliccia A., Spirito P. Cardiac disease in young trained athletes: Insights into methods for distinguishing athlete's heart from structural heart disease, with particular emphasis on hypertrophic cardiomyopathy//Circulation. 1995. Vol. 91, N 5. P. 1596 - 1601.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62" w:name="P1206"/>
      <w:bookmarkEnd w:id="162"/>
      <w:r>
        <w:t>172. Young L. et al. Hypertrophic cardiomyopathy: A complex disease//Cleve. Clin. J. Med. 2018. Vol. 85, N 5. P. 399 - 411.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63" w:name="P1207"/>
      <w:bookmarkEnd w:id="163"/>
      <w:r>
        <w:t>173. Efthimiadis G.K. et al. Hypertrophic cardiomyopathy in 2013: Current speculations and future perspectives//World J Cardiol. 2014. Vol. 6, N 2. P. 26 - 37.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64" w:name="P1208"/>
      <w:bookmarkEnd w:id="164"/>
      <w:r>
        <w:t xml:space="preserve">174. Hershberger R.E. et al. Genetic Evaluation of Cardiomyopathy-A Heart Failure Society of </w:t>
      </w:r>
      <w:r>
        <w:lastRenderedPageBreak/>
        <w:t>America Practice Guideline//J. Card. Fail. 2018. Vol. 24, N 5. P. 281 - 302.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65" w:name="P1209"/>
      <w:bookmarkEnd w:id="165"/>
      <w:r>
        <w:t>175. Efthimiadis G.K. et al. An Overview of Pharmacotherapy in Hypertrophic Cardiomyopathy: Current Speculations and Clinical Perspectives.//Rev. Cardiovasc. Med. 2016. Vol. 17, N 3 - 4. P. 115 - 123.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66" w:name="P1210"/>
      <w:bookmarkEnd w:id="166"/>
      <w:r>
        <w:t>176. Fananapazir L. et al. Electrophysiologic abnormalities in patients with hypertrophic cardiomyopathy. A consecutive analysis in 155 patients//Circulation. 1989. Vol. 80, N 5. P. 1259 - 1268.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67" w:name="P1211"/>
      <w:bookmarkEnd w:id="167"/>
      <w:r>
        <w:t>177. Kelly B.S., Mattu A., Brady W.J. Hypertrophic cardiomyopathy: electrocardiographic manifestations and other important considerations for the emergency physician//Am. J. Emerg. Med. 2007. Vol. 25, N 1. P. 72 - 79.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68" w:name="P1212"/>
      <w:bookmarkEnd w:id="168"/>
      <w:r>
        <w:t>178. McLeod C.J. et al. Outcome of Patients With Hypertrophic Cardiomyopathy and a Normal Electrocardiogram//J. Am. Coll. Cardiol. 2009. Vol. 54, N 3. P. 229 - 233.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69" w:name="P1213"/>
      <w:bookmarkEnd w:id="169"/>
      <w:r>
        <w:t>179. Wilke I. et al. High Incidence of De Novo and Subclinical Atrial Fibrillation in Patients With Hypertrophic Cardiomyopathy and Cardiac Rhythm Management Device//J. Cardiovasc. Electrophysiol. 2016. Vol. 27, N 7. P. 779 - 784.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70" w:name="P1214"/>
      <w:bookmarkEnd w:id="170"/>
      <w:r>
        <w:t>180. Хирманов В.Н. и др. Электрокардиографические методы в диагностике, выборе метода и тактики лечения гипертрофической кардиомиопатии//Prog. Biomed. Res. 1997. Т. 2. N 1. С. 7 - 22.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71" w:name="P1215"/>
      <w:bookmarkEnd w:id="171"/>
      <w:r>
        <w:t>181. O'Mahony C. et al. A novel clinical risk prediction model for sudden cardiac death in hypertrophic cardiomyopathy (HCM Risk-SCD)//Eur Hear. J. 2014. Vol. 35, N 30. P. 2010 - 2020.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72" w:name="P1216"/>
      <w:bookmarkEnd w:id="172"/>
      <w:r>
        <w:t>182. Wasfy M.M., Weiner R.B. Differentiating the athlete's heart from hypertrophic cardiomyopathy//Current Opinion in Cardiology. 2015. Vol. 30, N 5. P. 500 - 505.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73" w:name="P1217"/>
      <w:bookmarkEnd w:id="173"/>
      <w:r>
        <w:t>183. Weigner M.J. et al. Risk for clinical thromboembolism associated with conversion to sinus rhythm in patients with atrial fibrillation lasting less than 48 hours//Ann. Intern. Med. 1997. Vol. 126, N 8. P. 615 - 620.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74" w:name="P1218"/>
      <w:bookmarkEnd w:id="174"/>
      <w:r>
        <w:t>184. Guttmann O.P. et al. Atrial fibrillation and thromboembolism in patients with hypertrophic cardiomyopathy: Systematic review//Heart. 2014. Vol. 100, N 6. P. 465 - 472.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75" w:name="P1219"/>
      <w:bookmarkEnd w:id="175"/>
      <w:r>
        <w:t>185. Brignole M. et al. Indications for the use of diagnostic implantable and external ECG loop recorders.//Europace. 2009. Vol. 11, N 5. P. 671 - 687.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186. Frangini P.A. et al. How revealing are insertable loop recorders in pediatrics?//Pacing Clin. Electrophysiol. 2008. Vol. 31, N 3. P. 338 - 343.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76" w:name="P1221"/>
      <w:bookmarkEnd w:id="176"/>
      <w:r>
        <w:t>187. Solano A. et al. Incidence, diagnostic yield and safety of the implantable loop-recorder to detect the mechanism of syncope in patients with and without structural heart disease//Eur. Heart J. 2004. Vol. 25, N 13. P. 1116 - 1119.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77" w:name="P1222"/>
      <w:bookmarkEnd w:id="177"/>
      <w:r>
        <w:t>188. Moon J.C.C. et al. The histologic basis of late gadolinium enhancement cardiovascular magnetic resonance in hypertrophic cardiomyopathy//J. Am. Coll. Cardiol. 2004. Vol. 43, N 12. P. 2260 - 2264.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78" w:name="P1223"/>
      <w:bookmarkEnd w:id="178"/>
      <w:r>
        <w:t>189. O'Hanlon R. et al. Prognostic significance of myocardial fibrosis in hypertrophic cardiomyopathy//J. Am. Coll. Cardiol. 2010. Vol. 56, N 11. P. 867 - 874.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79" w:name="P1224"/>
      <w:bookmarkEnd w:id="179"/>
      <w:r>
        <w:t>190. Pernat A., Pohar B., Horvat M. Heart conduction disturbances and cardiovascular collapse after disopyramide and low-dose metoprolol in a patient with hypertrophic obstructive cardiomyopathy//J. Electrocardiol. 1997. Vol. 30, N 4. P. 341 - 344.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80" w:name="P1225"/>
      <w:bookmarkEnd w:id="180"/>
      <w:r>
        <w:lastRenderedPageBreak/>
        <w:t>191. Cerqueira M.D. et al. Standardized Myocardial Segmentation and Nomenclature for Tomographic Imaging of the Heart A Statement for Healthcare Professionals From the Cardiac Imaging Committee//Circulation. 2002. Vol. 105, N 4. P. 539 - 542.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81" w:name="P1226"/>
      <w:bookmarkEnd w:id="181"/>
      <w:r>
        <w:t>192. Flachskampf F. et al. Recommendations for Transoesophageal Echocardiography: Update 2010//Eur. J. Echocardiogr. 2010. Vol. 11, N 7. P. 557 - 576.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82" w:name="P1227"/>
      <w:bookmarkEnd w:id="182"/>
      <w:r>
        <w:t>193. Lang R.M. et al. Recommendations for cardiac chamber quantification by echocardiography in adults: An update from the American society of echocardiography and the European association of cardiovascular imaging//Eur. Heart J. Cardiovasc. Imaging. 2015. Vol. 16, N 3. P. 233 - 271.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194. Mitchell C. et al. Guidelines for Performing a Comprehensive Transthoracic Echocardiographic Examination in Adults: Recommendations from the American Society of Echocardiography//J. Am. Soc. Echocardiogr. 2018. Vol. 32, N 1. P. 1 - 64.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83" w:name="P1229"/>
      <w:bookmarkEnd w:id="183"/>
      <w:r>
        <w:t>195. Nagueh S.F. et al. Recommendations for the Evaluation of Left Ventricular Diastolic Function by Echocardiography//Eur. J. Echocardiogr. 2009. Vol. 10, N 2. P. 165 - 193.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84" w:name="P1230"/>
      <w:bookmarkEnd w:id="184"/>
      <w:r>
        <w:t>196. Senior R. et al. Contrast echocardiography: evidence-based recommendations by European Association of Echocardiography//Eur J Echocardiogr. 2009. Vol. 10, N 2. P. 194 - 212.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85" w:name="P1231"/>
      <w:bookmarkEnd w:id="185"/>
      <w:r>
        <w:t>197. Maron B.J. et al. Clinical course of hypertrophic cardiomyopathy with survival to advanced age//J. Am. Coll. Cardiol. 2003. Vol. 42, N 5. P. 882 - 888.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86" w:name="P1232"/>
      <w:bookmarkEnd w:id="186"/>
      <w:r>
        <w:t>198. Maron B.J. et al. Nonobstructive Hypertrophic Cardiomyopathy Out of the Shadows: Known from the Beginning but Largely Ignored... Until Now//Am. J. Med. 2017. Vol. 130, N 2. P. 119 - 123.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87" w:name="P1233"/>
      <w:bookmarkEnd w:id="187"/>
      <w:r>
        <w:t>199. Maron M.S. et al. Hypertrophic cardiomyopathy is predominantly a disease of left ventricular outflow tract obstruction//Circulation. 2006. Vol. 114, N 21. P. 2232 - 2239.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88" w:name="P1234"/>
      <w:bookmarkEnd w:id="188"/>
      <w:r>
        <w:t>200. Spirito P. et al. Risk of sudden death and outcome in patients with hypertrophic cardiomyopathy with benign presentation and without risk factors//Am. J. Cardiol. 2014. Vol. 113, N 9. P. 1550 - 1555.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89" w:name="P1235"/>
      <w:bookmarkEnd w:id="189"/>
      <w:r>
        <w:t>201. Spirito P. et al. Magnitude of left ventricular hypertrophy and risk of sudden death in hypertrophic cardiomyopathy//N. Engl. J. Med. 2000. Vol. 342, N 24. P. 1778 - 1785.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90" w:name="P1236"/>
      <w:bookmarkEnd w:id="190"/>
      <w:r>
        <w:t>202. Belenkie I., MacDonald R.P.R., Smith E.R. Localized septal hypertrophy: Part of the spectrum of hypertrophic cardiomyopathy or an incidental echocardiographic finding?//Am. Heart J. 1988. Vol. 115, N 2. P. 385 - 390.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91" w:name="P1237"/>
      <w:bookmarkEnd w:id="191"/>
      <w:r>
        <w:t>203. Gardin J. et al. Localized basal ventricular septal hypertrophy - prevalence, functional and clinical correlates in a population referred for echocardiography//Am J Noninvas Card. 1998. Vol. 6, N 1. P. 5 - 8.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92" w:name="P1238"/>
      <w:bookmarkEnd w:id="192"/>
      <w:r>
        <w:t>204. Losi M.A. et al. Echocardiography in patients with hypertrophic cardiomyopathy: Usefulness of old and new techniques in the diagnosis and pathophysiological assessment//Cardiovasc. Ultrasound. 2010. Vol. 8, N 1. P. 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93" w:name="P1239"/>
      <w:bookmarkEnd w:id="193"/>
      <w:r>
        <w:t>205. Alvares R.F., Goodwin J.F. Non-invasive assessment of diastolic function in hypertrophic cardiomyopathy on and off beta adrenergic blocking drugs//Br. Heart J. 1982. Vol. 48, N 3. P. 204 - 212.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94" w:name="P1240"/>
      <w:bookmarkEnd w:id="194"/>
      <w:r>
        <w:t>206. Dimitrow P.P. et al. Left ventricular outflow tract gradient provoked by upright position or exercise in treated patients with hypertrophic cardiomyopathy without obstruction at rest.//Echocardiography. 2009. Vol. 26, N 5. P. 513 - 520.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95" w:name="P1241"/>
      <w:bookmarkEnd w:id="195"/>
      <w:r>
        <w:t xml:space="preserve">207. Elliott P. et al. Left ventricular outflow tract obstruction and sudden death in hypertrophic </w:t>
      </w:r>
      <w:r>
        <w:lastRenderedPageBreak/>
        <w:t>cardiomyopathy//Eur. Heart J. 2006. Vol. 27, N 24. P. 3073 - 3074.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96" w:name="P1242"/>
      <w:bookmarkEnd w:id="196"/>
      <w:r>
        <w:t>208. Nistri S. et al. Timing and significance of exercise-induced left ventricular outflow tract pressure gradients in hypertrophic cardiomyopathy//Am. J. Cardiol. 2010. Vol. 106, N 9. P. 1301 - 1306.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97" w:name="P1243"/>
      <w:bookmarkEnd w:id="197"/>
      <w:r>
        <w:t>209. Olivotto I. et al. Clinical utility and safety of exercise testing in patients with hypertrophic cardiomyopathy//G. Ital. Cardiol. 1999. Vol. 29. P. 11 - 19.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98" w:name="P1244"/>
      <w:bookmarkEnd w:id="198"/>
      <w:r>
        <w:t>210. Sadoul N. et al. Prospective prognostic assessment of blood pressure response during exercise in patients with hypertrophic cardiomyopathy//Circulation. 1997. Vol. 96, N 9. P. 2987 - 2991.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199" w:name="P1245"/>
      <w:bookmarkEnd w:id="199"/>
      <w:r>
        <w:t>211. Tower-Rader A. et al. A Comprehensive Review of Stress Testing in Hypertrophic Cardiomyopathy: Assessment of Functional Capacity, Identification of Prognostic Indicators, and Detection of Coronary Artery Disease//J. Am. Soc. Echocardiogr. 2017. Vol. 30, N 9. P. 829 - 844.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00" w:name="P1246"/>
      <w:bookmarkEnd w:id="200"/>
      <w:r>
        <w:t xml:space="preserve">212. </w:t>
      </w:r>
      <w:r>
        <w:rPr>
          <w:noProof/>
          <w:position w:val="-6"/>
        </w:rPr>
        <w:drawing>
          <wp:inline distT="0" distB="0" distL="0" distR="0">
            <wp:extent cx="502920" cy="220345"/>
            <wp:effectExtent l="0" t="0" r="0" b="0"/>
            <wp:docPr id="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F. et al. The effect of dobutamine stress on left ventricular outflow tract gradients in hypertensive patients with basal septal hypertrophy//Angiology. 2004. Vol. 55, N 3. P. 295 - 301.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01" w:name="P1247"/>
      <w:bookmarkEnd w:id="201"/>
      <w:r>
        <w:t>213. Mestres C.A. et al. Hypertrophic Obstructive Cardiomyopathy: What, When, Why, for Whom?//Eur J Cardiothorac Surg. 2018. Vol. 53, N 4. P. 700 - 707.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02" w:name="P1248"/>
      <w:bookmarkEnd w:id="202"/>
      <w:r>
        <w:t>214. Mickelsen S. et al. Doppler evaluation of the descending aorta in patients with hypertrophic cardiomyopathy: Potential for assessing the functional significance of outflow tract gradients and for optimizing pacemaker function//J. Interv. Card. Electrophysiol. 2004. Vol. 11, N 1. P. 47 - 53.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03" w:name="P1249"/>
      <w:bookmarkEnd w:id="203"/>
      <w:r>
        <w:t>215. Tezuka A. et al. Bisoprolol successfully improved the intraventricular pressure gradient in a patient with midventricular obstructive hypertrophic cardiomyopathy with an apex aneurysm due to apical myocardial damage//Intern. Med. 2019. Vol. 58, N 4. P. 535 - 539.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04" w:name="P1250"/>
      <w:bookmarkEnd w:id="204"/>
      <w:r>
        <w:t>216. Cardim N. et al. Role of multimodality cardiac imaging in the management of patients with hypertrophic cardiomyopathy: An expert consensus of the European Association of Cardiovascular Imaging Endorsed by the Saudi Heart Association//Eur. Heart J. Cardiovasc. Imaging. 2015. Vol. 16, N 3. P. 280.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05" w:name="P1251"/>
      <w:bookmarkEnd w:id="205"/>
      <w:r>
        <w:t>217. Kim M.S. et al. Left Ventricular Outflow Tract Obstruction in the Presence of Asymmetric Septal Hypertrophy and Accessory Mitral Valve Tissue Treated With Alcohol Septal Ablation//Eur. J. Echocardiogr. 2008. Vol. 9, N 5. P. 720 - 724.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218. Monakier D. et al. Usefulness of myocardial contrast echocardiographic quantification of risk area for predicting postprocedural complications in patients undergoing septal ethanol ablation for obstructive hypertrophic cardiomyopathy//Am. J. Cardiol. 2004. Vol. 94, N 12. P. 1515 - 1522.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06" w:name="P1253"/>
      <w:bookmarkEnd w:id="206"/>
      <w:r>
        <w:t>219. Wallace E.L. et al. Septal perforator anatomy and variability of perfusion bed by myocardial contrast echocardiography: A study of hypertrophic cardiomyopathy patients undergoing alcohol septal ablation//J. Interv. Cardiol. 2013. Vol. 26, N 6. P. 604 - 612.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07" w:name="P1254"/>
      <w:bookmarkEnd w:id="207"/>
      <w:r>
        <w:t>220. Grigg L.E. et al. Transesophageal Doppler echocardiography in obstructive hypertrophic cardiomyopathy: Clarification of pathophysiology and importance in intraoperative decision making//J. Am. Coll. Cardiol. 1992. Vol. 20, N 1. P. 42 - 52.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221. Marwick T.H. et al. Benefits of intraoperative echocardiography in the surgical management of hypertrophic cardiomyopathy//J. Am. Coll. Cardiol. 1992. Vol. 20, N 5. P. 1066 - 1072.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222. Oki T. et al. Transesophageal echocardiographic evaluation of mitral regurgitation in hypertrophic cardiomyopathy: Contributions of eccentric left ventricular hypertrophy and related abnormalities of the mitral complex//J. Am. Soc. Echocardiogr. 1995. Vol. 8, N 4. P. 503 - 510.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08" w:name="P1257"/>
      <w:bookmarkEnd w:id="208"/>
      <w:r>
        <w:lastRenderedPageBreak/>
        <w:t>223. Yu E.H.C. et al. Mitral regurgitation in hypertrophic obstructive cardiomyopathy: Relationship to obstruction and relief with myectomy//J. Am. Coll. Cardiol. 2000. Vol. 36, N 7. P. 2219 - 2225.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09" w:name="P1258"/>
      <w:bookmarkEnd w:id="209"/>
      <w:r>
        <w:t>224. McIntosh C.L. et al. Initial Results of Combined Anterior Mitral Leaflet Plication and Ventricular Septal Myotomy-Myectomy for Relief of Left Ventricular Outflow Tract Obstruction in Patients With Hypertrophic Cardiomyopathy//Circulation. 1992. Vol. 86, N 5. P. 60 - 67.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10" w:name="P1259"/>
      <w:bookmarkEnd w:id="210"/>
      <w:r>
        <w:t>225. Green J.J. et al. Prognostic value of late gadolinium enhancement in clinical outcomes for hypertrophic cardiomyopathy//JACC Cardiovasc. Imaging. 2012. Vol. 5, N 4. P. 370 - 377.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11" w:name="P1260"/>
      <w:bookmarkEnd w:id="211"/>
      <w:r>
        <w:t>226. Moon J.C.C. et al. Detection of apical hypertrophic cardiomyopathy by cardiovascular magnetic resonance in patients with non-diagnostic echocardiography//Heart. 2004. Vol. 90, N 6. P. 645 - 649.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12" w:name="P1261"/>
      <w:bookmarkEnd w:id="212"/>
      <w:r>
        <w:t>227. Olivotto I. et al. Assessment and Significance of Left Ventricular Mass by Cardiovascular Magnetic Resonance in Hypertrophic Cardiomyopathy//J. Am. Coll. Cardiol. 2008. Vol. 52, N 7. P. 559 - 566.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13" w:name="P1262"/>
      <w:bookmarkEnd w:id="213"/>
      <w:r>
        <w:t>228. Prinz C. et al. Myocardial Fibrosis Severity on Cardiac Magnetic Resonance Imaging Predicts Sustained Arrhythmic Events in Hypertrophic Cardiomyopathy//Can. J. Cardiol. 2013. Vol. 29, N 3. P. 358 - 363.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14" w:name="P1263"/>
      <w:bookmarkEnd w:id="214"/>
      <w:r>
        <w:t>229. Rickers C. et al. Utility of cardiac magnetic resonance imaging in the diagnosis of hypertrophic cardiomyopathy//Circulation. 2005. Vol. 112, N 6. P. 855 - 861.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15" w:name="P1264"/>
      <w:bookmarkEnd w:id="215"/>
      <w:r>
        <w:t>230. Rudolph A. et al. Noninvasive Detection of Fibrosis Applying Contrast-Enhanced Cardiac Magnetic Resonance in Different Forms of Left Ventricular Hypertrophy. Relation to Remodeling//J. Am. Coll. Cardiol. 2009. Vol. 53, N 3. P. 284 - 291.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16" w:name="P1265"/>
      <w:bookmarkEnd w:id="216"/>
      <w:r>
        <w:t>231. Webb J. et al. The Emerging Role of Cardiac Magnetic Resonance Imaging in the Evaluation of Patients with HFpEF//Curr. Heart Fail. Rep. 2018. Vol. 15, N 1. P. 1 - 9.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17" w:name="P1266"/>
      <w:bookmarkEnd w:id="217"/>
      <w:r>
        <w:t>232. Albano B.B.P. et al. Treating a Structural Heart Disease Using a Non-structural Approach: Role of Cardiac Pacing in Hypertrophic Cardiomyopathy//Cardiol. Res. 2017. Vol. 8, N 1. P. 20 - 25.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18" w:name="P1267"/>
      <w:bookmarkEnd w:id="218"/>
      <w:r>
        <w:t>233. Puntmann V.O. et al. Left ventricular chamber dimensions and wall thickness by cardiovascular magnetic resonance: comparison with transthoracic echocardiography//Eur Hear. J Cardiovasc Imaging. 2013. Vol. 14. P. 240 - 246.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19" w:name="P1268"/>
      <w:bookmarkEnd w:id="219"/>
      <w:r>
        <w:t>234. Falk R.H. Diagnosis and management of the cardiac amyloidoses//Circulation. 2005. Vol. 112, N 13. P. 2047 - 2060.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20" w:name="P1269"/>
      <w:bookmarkEnd w:id="220"/>
      <w:r>
        <w:t>235. Gillmore J.D. et al. Nonbiopsy diagnosis of cardiac transthyretin amyloidosis//Circulation. 2016. Vol. 133, N 24. P. 2404 - 2412.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21" w:name="P1270"/>
      <w:bookmarkEnd w:id="221"/>
      <w:r>
        <w:t>236. Syed I.S. et al. Role of Cardiac Magnetic Resonance Imaging in the Detection of Cardiac Amyloidosis//JACC Cardiovasc. Imaging. 2010. Vol. 3, N 2. P. 155 - 164.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22" w:name="P1271"/>
      <w:bookmarkEnd w:id="222"/>
      <w:r>
        <w:t>237. Todiere G. et al. Progression of myocardial fibrosis assessed with cardiac magnetic resonance in hypertrophic cardiomyopathy//J. Am. Coll. Cardiol. 2012. Vol. 60, N 10. P. 922 - 929.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23" w:name="P1272"/>
      <w:bookmarkEnd w:id="223"/>
      <w:r>
        <w:t>238. O'Hanlon R., Assomull R.G., Prasad S.K. Use of cardiovascular magnetic resonance for diagnosis and management in hypertrophic cardiomyopathy//Curr. Cardiol. Rep. 2007. Vol. 9, N 1. P. 51 - 56.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24" w:name="P1273"/>
      <w:bookmarkEnd w:id="224"/>
      <w:r>
        <w:t xml:space="preserve">239. Patel P. et al. Left ventricular outflow tract obstruction in hypertrophic cardiomyopathy patients without severe septal hypertrophy: Implications of mitral valve and papillary muscle </w:t>
      </w:r>
      <w:r>
        <w:lastRenderedPageBreak/>
        <w:t>abnormalities assessed using cardiac magnetic resonance and echocardiography//Circ. Cardiovasc. Imaging. 2015. Vol. 8, N 7. P. e003132.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240. Gruner C. et al. Significance of left ventricular apical-basal muscle bundle identified by cardiovascular magnetic resonance imaging in patients with hypertrophic cardiomyopathy//Eur. Heart J. 2014. Vol. 35, N 39. P. 2706 - 2713.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25" w:name="P1275"/>
      <w:bookmarkEnd w:id="225"/>
      <w:r>
        <w:t>241. Brouwer W.P. et al. Multiple myocardial crypts on modified long-axis view are a specific finding in pre-hypertrophic HCM mutation carriers//Eur Hear. J Cardiovasc Imaging. 2012. Vol. 13, N 4. P. 292 - 297.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26" w:name="P1276"/>
      <w:bookmarkEnd w:id="226"/>
      <w:r>
        <w:t>242. Schroeder S. et al. Cardiac Computed Tomography: Indications, Applications, Limitations, and Training Requirements: Report of a Writing Group Deployed by the Working Group Nuclear Cardiology and Cardiac CT of the European Society of Cardiology and the European Council of Nuc//Eur Hear. J. 2008. Vol. 29, N 4. P. 531 - 556.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27" w:name="P1277"/>
      <w:bookmarkEnd w:id="227"/>
      <w:r>
        <w:t>243. Esposito A. et al. Multidetector computed tomography for coronary stents imaging: High-voltage (140-KVP) prospective ecg-triggered versus standard-voltage (120-kvp) retrospective ecg-gated helical scanning//J. Comput. Assist. Tomogr. 2013. Vol. 37, N 3. P. 395 - 401.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28" w:name="P1278"/>
      <w:bookmarkEnd w:id="228"/>
      <w:r>
        <w:t>244. Shiozaki A.A. et al. Myocardial fibrosis detected by cardiac CT predicts ventricular fibrillation/ventricular tachycardia events in patients with hypertrophic cardiomyopathy//J. Cardiovasc. Comput. Tomogr. 2013. Vol. 7, N 3. P. 173 - 181.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29" w:name="P1279"/>
      <w:bookmarkEnd w:id="229"/>
      <w:r>
        <w:t>245. Rapezzi C. et al. Usefulness and limitations of 99mTc-3, 3-diphosphono-1, 2-propanodicarboxylic acid scintigraphy in the aetiological diagnosis of amyloidotic cardiomyopathy//Eur. J. Nucl. Med. Mol. Imaging. 2011. Vol. 38, N 3. P. 470 - 478.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30" w:name="P1280"/>
      <w:bookmarkEnd w:id="230"/>
      <w:r>
        <w:t>246. Rapezzi C. et al. Role of 99mTc-DPD scintigraphy in diagnosis and prognosis of hereditary transthyretin-related cardiac amyloidosis//JACC Cardiovasc. Imaging. 2011. Vol. 4, N 6. P. 659 - 670.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31" w:name="P1281"/>
      <w:bookmarkEnd w:id="231"/>
      <w:r>
        <w:t>247. Katayama M. et al. Left ventricular septal hypertrophy in elderly patients with aortic stenosis//J. Ultrasound Med. 2017. Vol. 37, N 1. P. 217 - 224.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32" w:name="P1282"/>
      <w:bookmarkEnd w:id="232"/>
      <w:r>
        <w:t>248. Mitsutake R. et al. Usefulness of multi-detector row computed tomography for the management of percutaneous transluminal septal myocardial ablation in patient with hypertrophic obstructive cardiomyopathy//Int. J. Cardiol. 2008. Vol. 129, N 2. P. 61 - 63.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33" w:name="P1283"/>
      <w:bookmarkEnd w:id="233"/>
      <w:r>
        <w:t>249. Scalone G., Niccoli G., Crea F. Editor's Choice-Pathophysiology, diagnosis and management of MINOCA: an update//Eur. Hear. journal. Acute Cardiovasc. care. 2019. Vol. 8, N 1. P. 54 - 62.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34" w:name="P1284"/>
      <w:bookmarkEnd w:id="234"/>
      <w:r>
        <w:t>250. Okayama S. et al. Role of cardiac computed tomography in planning and evaluating percutaneous transluminal septal myocardial ablation for hypertrophic obstructive cardiomyopathy//J. Cardiovasc. Comput. Tomogr. 2010. Vol. 4, N 1. P. 62 - 65.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35" w:name="P1285"/>
      <w:bookmarkEnd w:id="235"/>
      <w:r>
        <w:t>251. Villa A.D.M. et al. Microvascular ischemia in hypertrophic cardiomyopathy: New insights from high-resolution combined quantification of perfusion and late gadolinium enhancement//J. Cardiovasc. Magn. Reson. 2016. Vol. 18, N 4. P. doi:10.1186/s12968-016-0223-8. Epub ahead of print.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36" w:name="P1286"/>
      <w:bookmarkEnd w:id="236"/>
      <w:r>
        <w:t>252. Chen J.M. et al. Reevaluating the significance of pulmonary hypertension before cardiac transplantation: Determination of optimal thresholds and quantification of the effect of reversibility on perioperative mortality//J. Thorac. Cardiovasc. Surg. 1997. Vol. 114, N 4. P. 627 - 634.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37" w:name="P1287"/>
      <w:bookmarkEnd w:id="237"/>
      <w:r>
        <w:t>253. Kato T.S. et al. Cardiac transplantation in patients with hypertrophic cardiomyopathy//Am. J. Cardiol. 2012. Vol. 110, N 4. P. 568 - 574.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38" w:name="P1288"/>
      <w:bookmarkEnd w:id="238"/>
      <w:r>
        <w:lastRenderedPageBreak/>
        <w:t xml:space="preserve">254. </w:t>
      </w:r>
      <w:r>
        <w:rPr>
          <w:noProof/>
          <w:position w:val="-4"/>
        </w:rPr>
        <w:drawing>
          <wp:inline distT="0" distB="0" distL="0" distR="0">
            <wp:extent cx="702310" cy="199390"/>
            <wp:effectExtent l="0" t="0" r="0" b="0"/>
            <wp:docPr id="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B. et al. High and low pulmonary vascular resistance in heart transplant candidates. A 5-year follow-up after heart transplantation shows continuous reduction in resistance and no difference in complication rate//Eur. Heart J. 1999. Vol. 20, N 2. P. 148 - 156.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39" w:name="P1289"/>
      <w:bookmarkEnd w:id="239"/>
      <w:r>
        <w:t>255. Maron M.S. et al. Survival after cardiac transplantation in patients with hypertrophic cardiomyopathy//Circ. Hear. Fail. 2010. Vol. 3, N 5. P. 574 - 579.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40" w:name="P1290"/>
      <w:bookmarkEnd w:id="240"/>
      <w:r>
        <w:t>256. Mehra M.R. et al. Listing Criteria for Heart Transplantation: International Society for Heart and Lung Transplantation Guidelines for the Care of Cardiac Transplant Candidates-2006//J. Hear. Lung Transplant. 2006. Vol. 25, N 9. P. 1024 - 1042.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41" w:name="P1291"/>
      <w:bookmarkEnd w:id="241"/>
      <w:r>
        <w:t>257. Torres M.F., Perez-Villa F. Heart transplantation in patients with hypertrophic cardiomyopathy//Glob. Cardiol. Sci. Pract. 2018. Vol. 2018, N 3. P. 32.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42" w:name="P1292"/>
      <w:bookmarkEnd w:id="242"/>
      <w:r>
        <w:t xml:space="preserve">258. </w:t>
      </w:r>
      <w:r>
        <w:rPr>
          <w:noProof/>
          <w:position w:val="-6"/>
        </w:rPr>
        <w:drawing>
          <wp:inline distT="0" distB="0" distL="0" distR="0">
            <wp:extent cx="1540510" cy="220345"/>
            <wp:effectExtent l="0" t="0" r="0" b="0"/>
            <wp:docPr id="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1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C. et al. ACC/AHA/ESC Guidelines for the Management of Patients with Supraventricular Arrhythmias - Executive Summary: A Report of the American College of Cardiology/American Heart Association Task Force on Practice Guidelines and the European Society of Cardiology//J. Am. Coll. Cardiol. 2003. Vol. 42, N 8. P. 1493 - 1531.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43" w:name="P1293"/>
      <w:bookmarkEnd w:id="243"/>
      <w:r>
        <w:t>259. Бокерия Л.А., Берсенева М.И., Маленков Д.А. Аритмогенные осложнения гипертрофической кардиомиопатии//Анналы аритмологии. 2010. Т. 7. N 3. С. 62 - 69.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44" w:name="P1294"/>
      <w:bookmarkEnd w:id="244"/>
      <w:r>
        <w:t>260. Muresan L. et al. Recommendations for the use of electrophysiological study: Update 2018//Hell. J. Cardiol. 2019. Vol. 60, N 2. P. 82 - 100.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45" w:name="P1295"/>
      <w:bookmarkEnd w:id="245"/>
      <w:r>
        <w:t>261. Wang W. et al. Prognostic Implications of Nonsustained Ventricular Tachycardia in High-Risk Patients With Hypertrophic Cardiomyopathy//Circ. Arrhythm. Electrophysiol. 2017. Vol. 10, N 3. P. e004604.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46" w:name="P1296"/>
      <w:bookmarkEnd w:id="246"/>
      <w:r>
        <w:t>262. Inada K. et al. Substrate characterization and catheter ablation for monomorphic ventricular tachycardia in patients with apical hypertrophic cardiomyopathy//J. Cardiovasc. Electrophysiol. 2011. Vol. 22, N 1. P. 41 - 48.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47" w:name="P1297"/>
      <w:bookmarkEnd w:id="247"/>
      <w:r>
        <w:t>263. Lim K.K., Maron B.J., Knight B.P. Successful catheter ablation of hemodynamically unstable monomorphic ventricular tachycardia in a patient with hypertrophic cardiomyopathy and apical aneurysm//J. Cardiovasc. Electrophysiol. 2009. Vol. 20, N 4. P. 445 - 447.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48" w:name="P1298"/>
      <w:bookmarkEnd w:id="248"/>
      <w:r>
        <w:t>264. Refaat M.M., Hotait M., Tseng Z.H. Utility of the exercise electrocardiogram testing in sudden cardiac death risk stratification//Ann. Noninvasive Electrocardiol. 2014. Vol. 19, N 4. P. 311 - 318.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49" w:name="P1299"/>
      <w:bookmarkEnd w:id="249"/>
      <w:r>
        <w:t>265. Yi G. et al. Can the Assessment of Dynamic QT Dispersion on Exercise Electrocardiogram Predict Sudden Cardiac Death in Hypertrophic Cardiomyopathy?//Pacing Clin. Electrophysiol. 2000. Vol. 23, N 11Pt2. P. 1953 - 1956.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50" w:name="P1300"/>
      <w:bookmarkEnd w:id="250"/>
      <w:r>
        <w:t xml:space="preserve">266. Nistri S. et al. </w:t>
      </w:r>
      <w:r>
        <w:rPr>
          <w:noProof/>
          <w:position w:val="-6"/>
        </w:rPr>
        <w:drawing>
          <wp:inline distT="0" distB="0" distL="0" distR="0">
            <wp:extent cx="136525" cy="220345"/>
            <wp:effectExtent l="0" t="0" r="0" b="0"/>
            <wp:docPr id="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blockers for prevention of exercise-induced left ventricular outflow tract obstruction in patients with hypertrophic cardiomyopathy//Am. J. Cardiol. 2012. Vol. 110, N 5. P. 715 - 719.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51" w:name="P1301"/>
      <w:bookmarkEnd w:id="251"/>
      <w:r>
        <w:t>267. Rowin E.J. et al. Role of Exercise Testing in Hypertrophic Cardiomyopathy//JACC Cardiovasc. Imaging. 2017. Vol. 10, N 11. P. 1374 - 1386.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52" w:name="P1302"/>
      <w:bookmarkEnd w:id="252"/>
      <w:r>
        <w:t>268. Mancini D.M. et al. Value of peak exercise oxygen consumption for optimal timing of cardiac transplantation in ambulatory patients with heart failure//Circulation. 1991. Vol. 83, N 3. P. 778 - 786.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53" w:name="P1303"/>
      <w:bookmarkEnd w:id="253"/>
      <w:r>
        <w:t>269. Sharma S. et al. Utility of cardiopulmonary exercise in the assessment of clinical determinants of functional capacity in hypertrophic cardiomyopathy//Am. J. Cardiol. 2000. Vol. 86, N 2. P. 162 - 168.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270. Колоскова Н.Н., Шаталов К.В., Бокерия Л.А. Определение пикового потребления кислорода: клиническое использование и перспективы//Креативная кардиология. 2014. Т. 2. С. 20 - 28.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54" w:name="P1305"/>
      <w:bookmarkEnd w:id="254"/>
      <w:r>
        <w:t>271. Coats C.J. et al. Cardiopulmonary Exercise Testing and Prognosis in Hypertrophic Cardiomyopathy//Circ. Hear. Fail. 2015. Vol. 8, N 6. P. 1022 - 1031.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55" w:name="P1306"/>
      <w:bookmarkEnd w:id="255"/>
      <w:r>
        <w:t>272. Arena R. et al. Ventilatory efficiency and resting hemodynamics in hypertrophic cardiomyopathy//Med. Sci. Sports Exerc. 2008. Vol. 40, N 5. P. 799 - 805.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56" w:name="P1307"/>
      <w:bookmarkEnd w:id="256"/>
      <w:r>
        <w:t>273. Olivotto I. et al. Prognostic value of systemic blood pressure response during exercise in a community-based patient population with hypertrophic cardiomyopathy//J. Am. Coll. Cardiol. 1999. Vol. 33, N 7. P. 2044 - 2051.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57" w:name="P1308"/>
      <w:bookmarkEnd w:id="257"/>
      <w:r>
        <w:t>274. Diodati J.G. et al. Predictors of exercise benefit after operative relief of left ventricular outflow obstruction by the myotomy-myectomy procedure in hypertrophic cardiomyopathy//Am. J. Cardiol. 1992. Vol. 69, N 19. P. 1617 - 1622.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58" w:name="P1309"/>
      <w:bookmarkEnd w:id="258"/>
      <w:r>
        <w:t>275. Bennett M.K. et al. Evaluation of the role of endomyocardial biopsy in 851 patients with unexplained heart failure from 2000 - 2009//Circ. Hear. Fail. 2013. Vol. 6, N 4. P. 676 - 684.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59" w:name="P1310"/>
      <w:bookmarkEnd w:id="259"/>
      <w:r>
        <w:t xml:space="preserve">276. </w:t>
      </w:r>
      <w:r>
        <w:rPr>
          <w:noProof/>
          <w:position w:val="-4"/>
        </w:rPr>
        <w:drawing>
          <wp:inline distT="0" distB="0" distL="0" distR="0">
            <wp:extent cx="754380" cy="199390"/>
            <wp:effectExtent l="0" t="0" r="0" b="0"/>
            <wp:docPr id="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S.O. et al. Immunohistochemistry in the classification of systemic forms of amyloidosis: A systematic investigation of 117 patients//Blood. 2012. Vol. 119, N 2. P. 488 - 493.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60" w:name="P1311"/>
      <w:bookmarkEnd w:id="260"/>
      <w:r>
        <w:t>277. Quarta C.C. et al. Diagnostic Sensitivity of Abdominal Fat Aspiration in Cardiac Amyloidosis//Eur Hear. J. 2017. Vol. 38, N 24. P. 1905 - 1908.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61" w:name="P1312"/>
      <w:bookmarkEnd w:id="261"/>
      <w:r>
        <w:t>278. Крылова Н.С. и др. Гипертрофическая кардиомиопатия и артериальная гипертензия: возможно ли сочетание?//Сердце журнал для практикующих врачей. 2015. Т. 14. N 3(83). С. 164 - 169.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62" w:name="P1313"/>
      <w:bookmarkEnd w:id="262"/>
      <w:r>
        <w:t>279. Полякова А.А. и др. Гипертрофическая кардиомиопатия в старшей возрастной группе: влияние факторов кардиометаболического риска и полиморфизма гена MADD//Артериальная гипертензия. 2018. Т. 24. N 1. С. 29 - 40.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280. Abel E.D., Litwin S.E., Sweeney G. Cardiac remodeling in obesity//Physiological Reviews. 2008. Vol. 88, N 2. P. 389 - 419.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281. Ommen S.R., Lopez-Jimenez F. Obesity and hypertrophic cardiomyopathy: Chickens, eggs, and causality: Clinical skills remain the key to caring for patients//J. Am. Coll. Cardiol. 2013. Vol. 62, N 5. P. 458 - 459.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63" w:name="P1316"/>
      <w:bookmarkEnd w:id="263"/>
      <w:r>
        <w:t>282. Olivotto I. et al. Obesity and its association to phenotype and clinical course in hypertrophic cardiomyopathy//J. Am. Coll. Cardiol. 2013. Vol. 62, N 5. P. 449 - 457.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64" w:name="P1317"/>
      <w:bookmarkEnd w:id="264"/>
      <w:r>
        <w:t>283. Van Straten A.H.M. et al. Increased septum wall thickness in patients undergoing aortic valve replacement predicts worse late survival//Ann. Thorac. Surg. 2012. Vol. 94, N 1. P. 66 - 71.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284. Di Tommaso L. et al. Asymmetric septal hypertrophy in patients with severe aortic stenosis: The usefulness of associated septal myectomy//J. Thorac. Cardiovasc. Surg. 2013. Vol. 145, N 1. P. 171 - 175.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285. Dweck M.R. et al. Left ventricular remodeling and hypertrophy in patients with aortic stenosis: Insights from cardiovascular magnetic resonance//J. Cardiovasc. Magn. Reson. 2012. Vol. 14, N 1. P. 50.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65" w:name="P1320"/>
      <w:bookmarkEnd w:id="265"/>
      <w:r>
        <w:lastRenderedPageBreak/>
        <w:t>286. Maron B.J., Edwards J.E., Epstein S.E. Disproportionate ventricular septal thickening in patients with systemic hypertension//Chest. 1978. Vol. 73, N 4. P. 466 - 470.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66" w:name="P1321"/>
      <w:bookmarkEnd w:id="266"/>
      <w:r>
        <w:t>287. Rodrigues J.C.L. et al. Prevalence and Predictors of Asymmetric Hypertensive Heart Disease: Insights From Cardiac and Aortic Function With Cardiovascular Magnetic Resonance//Eur Hear. J Cardiovasc Imaging. 2016. Vol. 17, N 12. P. 1405 - 1413.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67" w:name="P1322"/>
      <w:bookmarkEnd w:id="267"/>
      <w:r>
        <w:t>288. Tuseth N. et al. Asymmetric septal hypertrophy - A marker of hypertension in aortic stenosis (a SEAS substudy)//Blood Press. 2010. Vol. 19, N 3. P. 140 - 144.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68" w:name="P1323"/>
      <w:bookmarkEnd w:id="268"/>
      <w:r>
        <w:t>289. Shapiro L.M. et al. An echocardiographic study of localized subaortic hypertrophy//Eur. Heart J. 1986. Vol. 7, N 2. P. 127 - 132.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69" w:name="P1324"/>
      <w:bookmarkEnd w:id="269"/>
      <w:r>
        <w:t>290. Raissuni Z. et al. Hypertrophic cardiomyopathy mimicking STEMI: The role of cardiac magnetic resonance imaging in the detection of microvascular coronary dysfunction//Diagn. Interv. Imaging. 2014. Vol. 95, N 11. P. 1111 - 1112.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291. Timmer S.A.J., Knaapen P. Coronary Microvascular Function, Myocardial Metabolism, and Energetics in Hypertrophic Cardiomyopathy: Insights From Positron Emission Tomography//Eur Hear. J Cardiovasc Imaging. 2013. Vol. 14, N 2. P. 95 - 101.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70" w:name="P1326"/>
      <w:bookmarkEnd w:id="270"/>
      <w:r>
        <w:t>292. Zhang Y.D. et al. Hypertrophic cardiomyopathy: Cardiac structural and microvascular abnormalities as evaluated with multi-parametric MRI//Eur. J. Radiol. 2015. Vol. 84, N 8. P. 1480 - 1486.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293. </w:t>
      </w:r>
      <w:r>
        <w:rPr>
          <w:noProof/>
          <w:position w:val="-4"/>
        </w:rPr>
        <w:drawing>
          <wp:inline distT="0" distB="0" distL="0" distR="0">
            <wp:extent cx="1226185" cy="199390"/>
            <wp:effectExtent l="0" t="0" r="0" b="0"/>
            <wp:docPr id="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185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A. et al. Invasive assessment of coronary microvascular dysfunction in hypertrophic cardiomyopathy: The index of microvascular resistance//Cardiovasc. Revascularization Med. 2015. Vol. 16, N 7. P. 426 - 428.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71" w:name="P1328"/>
      <w:bookmarkEnd w:id="271"/>
      <w:r>
        <w:t>294. Ismail T.F. et al. Coronary microvascular ischemia in hypertrophic cardiomyopathy - A pixel-wise quantitative cardiovascular magnetic resonance perfusion study//J. Cardiovasc. Magn. Reson. 2014. Vol. 16, N 1. P. 49.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72" w:name="P1329"/>
      <w:bookmarkEnd w:id="272"/>
      <w:r>
        <w:t>295. Olivotto I. et al. Microvascular function is selectively impaired in patients with hypertrophic cardiomyopathy and sarcomere myofilament gene mutations//J. Am. Coll. Cardiol. 2011. Vol. 58, N 8. P. 839 - 848.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73" w:name="P1330"/>
      <w:bookmarkEnd w:id="273"/>
      <w:r>
        <w:t>296. Zipes D.P. et al. ACC/AHA/ESC 2006 guidelines for management of patients with ventricular arrhythmias and the prevention of sudden cardiac death//Circulation. 2006. Vol. 114, N 10. P. e385 - 484.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74" w:name="P1331"/>
      <w:bookmarkEnd w:id="274"/>
      <w:r>
        <w:t>297. Basavarajaiah S. et al. Prevalence of Hypertrophic Cardiomyopathy in Highly Trained Athletes. Relevance to Pre-Participation Screening//J. Am. Coll. Cardiol. 2008. Vol. 51, N 10. P. 1033 - 1039.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298. Malhotra A., Sharma S. Hypertrophic cardiomyopathy in athletes//Eur. Cardiol. Rev. 2017. Vol. 12, N 2. P. 80 - 82.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75" w:name="P1333"/>
      <w:bookmarkEnd w:id="275"/>
      <w:r>
        <w:t>299. Pelliccia A. et al. Recommendations for participation in competitive sport and leisure-time physical activity in individuals with cardiomyopathies, myocarditis and pericarditis//Eur. J. Prev. Cardiol. 2006. Vol. 13, N 6. P. 876 - 885.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76" w:name="P1334"/>
      <w:bookmarkEnd w:id="276"/>
      <w:r>
        <w:t>300. Liebregts M. et al. Validation of the HCM Risk-SCD model in patients with hypertrophic cardiomyopathy following alcohol septal ablation//Europace. 2018. Vol. 20, N FI2. P. 198 - 203.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77" w:name="P1335"/>
      <w:bookmarkEnd w:id="277"/>
      <w:r>
        <w:t>301. Spoladore R. et al. Pharmacological Treatment Options for Hypertrophic Cardiomyopathy: High Time for Evidence//Eur Hear. J. 2012. Vol. 33, N 14. P. 1724 - 1733.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78" w:name="P1336"/>
      <w:bookmarkEnd w:id="278"/>
      <w:r>
        <w:lastRenderedPageBreak/>
        <w:t>302. Toshima H. et al. Comparable Effects of Oral Diltiazem and Verapamil in the Treatment of Hypertrophic Cardiomyopathy Double-blind Crossover Study//Jpn. Heart J. 1986. Vol. 27, N 5. P. 701 - 715.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303. Galve E. et al. Late benefits of dual-chamber pacing in obstructive hypertrophic cardiomyopathy: A 10-year follow-up study//Heart. 2010. Vol. 96, N 5. P. 352 - 356.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79" w:name="P1338"/>
      <w:bookmarkEnd w:id="279"/>
      <w:r>
        <w:t>304. Gentry J.L. et al. Ranolazine for Treatment of Angina or Dyspnea in Hypertrophic Cardiomyopathy Patients (RHYME)//J. Am. Coll. Cardiol. 2016. Vol. 68, N 16. P. 1815 - 1817.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80" w:name="P1339"/>
      <w:bookmarkEnd w:id="280"/>
      <w:r>
        <w:t>305. Kappenberger L. et al. Pacing in hypertrophic obstructive cardiomyopathy. A randomized crossover study//Eur. Heart J. 1997. Vol. 18, N 8. P. 1249 - 1256.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81" w:name="P1340"/>
      <w:bookmarkEnd w:id="281"/>
      <w:r>
        <w:t>306. Maron B.J. et al. Assessment of Permanent Dual-Chamber Pacing as a Treatment for Drug-Refractory Symptomatic Patients With Obstructive Hypertrophic Cardiomyopathy//Circulation. 1999. Vol. 99, N 22. P. 2927 - 2933.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82" w:name="P1341"/>
      <w:bookmarkEnd w:id="282"/>
      <w:r>
        <w:t>307. Maron M.S. et al. Effect of Spironolactone on Myocardial Fibrosis and Other Clinical Variables in Patients with Hypertrophic Cardiomyopathy//Am. J. Med. 2018. Vol. 131, N 7. P. 837 - 841.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83" w:name="P1342"/>
      <w:bookmarkEnd w:id="283"/>
      <w:r>
        <w:t>308. Nishimura R.A. et al. Dual-chamber pacing for hypertrophic cardiomyopathy: A randomized, double-blind, crossover trial//J. Am. Coll. Cardiol. 1997. Vol. 29, N 2. P. 435 - 441.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84" w:name="P1343"/>
      <w:bookmarkEnd w:id="284"/>
      <w:r>
        <w:t>309. Olivotto I. et al. Efficacy of Ranolazine in Patients With Symptomatic Hypertrophic Cardiomyopathy: The RESTYLE-HCM Randomized, Double-Blind, Placebo-Controlled Study//Circ. Heart Fail. 2018. Vol. 11, N 1. P. e004124.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85" w:name="P1344"/>
      <w:bookmarkEnd w:id="285"/>
      <w:r>
        <w:t>310. Slade A.K. et al. DDD pacing in hypertrophic cardiomyopathy: A multicentre clinical experience//Heart. 1996. Vol. 75, N 1. P. 44 - 49.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86" w:name="P1345"/>
      <w:bookmarkEnd w:id="286"/>
      <w:r>
        <w:t>311. Jung H. et al. Effectiveness and Safety of Non-Vitamin K Antagonist Oral Anticoagulants in Patients With Atrial Fibrillation With Hypertrophic Cardiomyopathy: A Nationwide Cohort Study//Chest. 2019. Vol. 155, N 2. P. 354 - 363.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312. Zhou Y. et al. Non-vitamin K antagonist oral anticoagulants in patients with hypertrophic cardiomyopathy and atrial fibrillation: a systematic review and meta-analysis//J. Thromb. Thrombolysis. 2019. P. doi: 10.1007/s11239-019-02008-3. Epub ahead of print.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87" w:name="P1347"/>
      <w:bookmarkEnd w:id="287"/>
      <w:r>
        <w:t>313. Rujirachun P. et al. Efficacy and safety of direct oral anticoagulants (DOACs) versus vitamin K antagonist (VKA) among patients with atrial fibrillation and hypertrophic cardiomyopathy: a systematic review and meta-analysis//Acta Cardiol. 2019. P. doi: 10.1080/00015385.2019.1668113. Epub ahead of print.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88" w:name="P1348"/>
      <w:bookmarkEnd w:id="288"/>
      <w:r>
        <w:t>314. Patten M., Pecha S., Aydin A. Atrial fibrillation in hypertrophic cardiomyopathy: Diagnosis and considerations for management//J. Atr. Fibrillation. 2018. Vol. 10, N 5. P. 1556.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89" w:name="P1349"/>
      <w:bookmarkEnd w:id="289"/>
      <w:r>
        <w:t>315. Dearani J.A. et al. Surgery Insight: Septal myectomy for obstructive hypertrophic cardiomyopathy - The Mayo Clinic experience//Nat. Clin. Pract. Cardiovasc. Med. 2007. Vol. 4, N 9. P. 503 - 512.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90" w:name="P1350"/>
      <w:bookmarkEnd w:id="290"/>
      <w:r>
        <w:t>316. Leonardi R.A. et al. Meta-analyses of septal reduction therapies for obstructive hypertrophic cardiomyopathy comparative rates of overall mortality and sudden cardiac death after treatment//Circ. Cardiovasc. Interv. 2010. Vol. 3, N 2. P. 97 - 104.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91" w:name="P1351"/>
      <w:bookmarkEnd w:id="291"/>
      <w:r>
        <w:t xml:space="preserve">317. Zeng Z. et al. Comparison of percutaneous transluminal septal myocardial ablation versus septal myectomy for the treatment of patients with hypertrophic obstructive cardiomyopathy-A meta </w:t>
      </w:r>
      <w:r>
        <w:lastRenderedPageBreak/>
        <w:t>analysis//Int. J. Cardiol. 2006. Vol. 112, N 1. P. 80 - 84.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92" w:name="P1352"/>
      <w:bookmarkEnd w:id="292"/>
      <w:r>
        <w:t>318. Afanasyev A. V. et al. Single-Centre Experience of Surgical Myectomy for Hypertrophic Obstructive Cardiomyopathy//Hear. Lung Circ. 2019. Vol. 29, N 6. P. 949 - 955.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319. Veselka J. et al. Short- and long-term outcomes of alcohol septal ablation for hypertrophic obstructive cardiomyopathy in patients with mild left ventricular hypertrophy: a propensity score matching analysis//Eur Hear. J. 2019. Vol. 40, N 21. P. 1681 - 1687.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93" w:name="P1354"/>
      <w:bookmarkEnd w:id="293"/>
      <w:r>
        <w:t>320. Майстренко А.Д. и др. Современное состояние проблемы хирургического лечения гипертрофической обструктивной кардиомиопатии//Вестник хирургии имени И.И. Грекова. 2013. Т. 172. N 2. С. 82 - 87.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94" w:name="P1355"/>
      <w:bookmarkEnd w:id="294"/>
      <w:r>
        <w:t>321. Хитрова М.Э. и др. Метаанализ результатов хирургического лечения гипертрофической обструктивной кардиомиопатии//Креативная кардиология. 2017. Т. 11. N 4. С. 337 - 347.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322. Богданов Д.В., Шапошник И.И. Варианты клинического течения, исходы и прогноз гипертрофической необструктивной кардиомиопатии - результаты длительного наблюдения//Российский кардиологический журнал. 2019. Т. 24. N 11. С. 48 - 54.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95" w:name="P1357"/>
      <w:bookmarkEnd w:id="295"/>
      <w:r>
        <w:t>323. Vriesendorp P.A. et al. Validation of the 2014 European Society of Cardiology Guidelines Risk Prediction Model for the Primary Prevention of Sudden Cardiac Death in Hypertrophic Cardiomyopathy//Circ. Arrhythmia Electrophysiol. 2015. Vol. 8, N 4. P. 829 - 835.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96" w:name="P1358"/>
      <w:bookmarkEnd w:id="296"/>
      <w:r>
        <w:t>324. Falk V. et al. 2017 ESC/EACTS Guidelines for the management of valvular heart disease//Eur. J. Cardiothorac. Surg. 2017. Vol. 52, N 4. P. 616 - 664.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97" w:name="P1359"/>
      <w:bookmarkEnd w:id="297"/>
      <w:r>
        <w:t>325. Lourenco A.P. et al. An integrative translational approach to study heart failure with preserved ejection fraction: a position paper from the Working Group on Myocardial Function of the European Society of Cardiology//Eur. J. Heart Fail. 2018. Vol. 20, N 2. P. 216 - 227.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98" w:name="P1360"/>
      <w:bookmarkEnd w:id="298"/>
      <w:r>
        <w:t>326. Мареев В.Ю. и др. Клинические рекомендации ОССН-РКО РНМОТ Сердечная недостаточность: хроническая (ХСН) и острая декомпенсированная (ОДСН). Диагностика, профилактика, лечение//Кардиология. 2018. Т. 58. N 6S. С. 8 - 158.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299" w:name="P1361"/>
      <w:bookmarkEnd w:id="299"/>
      <w:r>
        <w:t>327. Российское кардиологическое общество. Клинические рекомендации "Артериальная гипертензия у взрослых" [Electronic resource]. 2020. URL: https://scardio.ru/content/Guidelines/Clinic_rek_AG_2020.pdf (accessed: 10.07.2020).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00" w:name="P1362"/>
      <w:bookmarkEnd w:id="300"/>
      <w:r>
        <w:t>328. Гудкова А.Я., Стрельцова А.А., Костарева А.А. Гипертрофическая кардиомиопатия: современные возможности фармакологических подходов к лечению//Терапевтический архив. 2019. Т. 91. N 9. С. 129 - 136.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01" w:name="P1363"/>
      <w:bookmarkEnd w:id="301"/>
      <w:r>
        <w:t>329. Ammirati E. et al. Pharmacological treatment of hypertrophic cardiomyopathy: current practice and novel perspectives//Eur. J. Heart Fail. 2016. Vol. 18, N 9. P. 1106 - 1118.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02" w:name="P1364"/>
      <w:bookmarkEnd w:id="302"/>
      <w:r>
        <w:t>330. Spicer R.L. et al. Hemodynamic effects of verapamil in children and adolescents with hypertrophic cardiomyopathy//Circulation. 1983. Vol. 67, N 2. P. 413 - 420.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03" w:name="P1365"/>
      <w:bookmarkEnd w:id="303"/>
      <w:r>
        <w:t>331. Flamm M.D., Harrison D.C., Hancock E.W. Muscular subaortic stenosis. Prevention of outflow obstruction with propranolol.//Circulation. 1968. Vol. 38, N 5. P. 846 - 858.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04" w:name="P1366"/>
      <w:bookmarkEnd w:id="304"/>
      <w:r>
        <w:t>332. Sherrid M.V. Drug Therapy for Hypertrophic Cardiomypathy: Physiology and Practice//Curr. Cardiol. Rev. 2016. Vol. 12, N 1. P. 52 - 65.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05" w:name="P1367"/>
      <w:bookmarkEnd w:id="305"/>
      <w:r>
        <w:t>333. Sherrid M.V., Gunsburg D., Sharma A. Medical treatment of hypertrophic cardiomyopathy//Curr. Cardiol. Rep. 2000. Vol. 2, N 2. P. 148 - 153.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334. Sherrid M. V. et al. Multicenter study of the efficacy and safety of disopyramide in obstructive hypertrophic cardiomyopathy//J. Am. Coll. Cardiol. 2005. Vol. 45, N 8. P. 1251 - 1258.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06" w:name="P1369"/>
      <w:bookmarkEnd w:id="306"/>
      <w:r>
        <w:t xml:space="preserve">335. Sherrid M. V. et al. Treatment of obstructive hypertrophic cardiomyopathy symptoms and gradient resistant to first-line therapy with </w:t>
      </w:r>
      <w:r>
        <w:rPr>
          <w:noProof/>
          <w:position w:val="-6"/>
        </w:rPr>
        <w:drawing>
          <wp:inline distT="0" distB="0" distL="0" distR="0">
            <wp:extent cx="786130" cy="220345"/>
            <wp:effectExtent l="0" t="0" r="0" b="0"/>
            <wp:docPr id="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or verapamil//Circ. Hear. Fail. 2013. Vol. 6, N 4. P. 694 - 702.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07" w:name="P1370"/>
      <w:bookmarkEnd w:id="307"/>
      <w:r>
        <w:t>336. Adelman A.G. et al. Long-term propranolol therapy in muscular subaortic stenosis.//Br. Heart J. 1970. Vol. 32, N 6. P. 804 - 811.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08" w:name="P1371"/>
      <w:bookmarkEnd w:id="308"/>
      <w:r>
        <w:t>337. Bonow R.O. et al. Verapamil-induced improvement in left ventricular diastolic filling and increased exercise tolerance in patients with hypertrophic cardiomyopathy: Short- and long-term effects//Circulation. 1985. Vol. 72, N 4. P. 853 - 864.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338. Bonow R.O., Rosing D.R., Epstein S.E. The acute and chronic effects of verapamil on left ventricular function in patients with hypertrophic cardiomyopathy//Eur. Heart J. 1983. Vol. 4, N suppl F. P. 57 - 65.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339. Gistri R. et al. Effect of verapamil on absolute myocardial blood flow in hypertrophic cardiomyopathy//Am. J. Cardiol. 1994. Vol. 74, N 4. P. 363 - 368.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09" w:name="P1374"/>
      <w:bookmarkEnd w:id="309"/>
      <w:r>
        <w:t>340. Rosing D.R. et al. Verapamil therapy: A new approach to the pharmacologic treatment of hypertrophic cardiomyopathy: III. Effects of long-term administration//Am. J. Cardiol. 1981. Vol. 48, N 3. P. 545 - 553.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10" w:name="P1375"/>
      <w:bookmarkEnd w:id="310"/>
      <w:r>
        <w:t>341. Rosing D.R. et al. Verapamil therapy: a new approach to the pharmacologic treatment of hypertrophic cardiomyopathy. I. Hemodynamic effects//Circulation. 1979. Vol. 60, N 6. P. 1201 - 1207.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11" w:name="P1376"/>
      <w:bookmarkEnd w:id="311"/>
      <w:r>
        <w:t>342. Maron B.J. Hypertrophic cardiomyopathy: A systematic review//JAMA 2002. Vol. 287, N 3. P. 1308 - 1320.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12" w:name="P1377"/>
      <w:bookmarkEnd w:id="312"/>
      <w:r>
        <w:t>343. Said S.M. et al. Transapical approach for apical myectomy and relief of midventricular obstruction in hypertrophic cardiomyopathy//J. Card. Surg. 2012. Vol. 27, N 4. P. 443 - 448.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13" w:name="P1378"/>
      <w:bookmarkEnd w:id="313"/>
      <w:r>
        <w:t>344. Shah A. et al. Severe symptoms in mid and apical hypertrophic cardiomyopathy//Echocardiography. 2009. Vol. 26, N 8. P. 922 - 933.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14" w:name="P1379"/>
      <w:bookmarkEnd w:id="314"/>
      <w:r>
        <w:t>345. Maron M.S. et al. Contemporary Natural History and Management of Nonobstructive Hypertrophic Cardiomyopathy//J. Am. Coll. Cardiol. 2016. Vol. 67, N 12. P. 1399 - 1409.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15" w:name="P1380"/>
      <w:bookmarkEnd w:id="315"/>
      <w:r>
        <w:t>346. McMurray J.J.V. et al. ESC Guidelines for the diagnosis and treatment of acute and chronic heart failure 2012: The Task Force for the Diagnosis and Treatment of Acute and Chronic Heart Failure 2012 of the European Society of Cardiology. Developed in collaboration with the Heart//Eur. Heart J. 2012. Vol. 33, N 14. P. 1787 - 1847.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16" w:name="P1381"/>
      <w:bookmarkEnd w:id="316"/>
      <w:r>
        <w:t>347. Сафрыгина Ю.В. и др. Сердечные натрийуретические пептиды в плазме больных гипертрофической кардиомиопатией//Кардиология. 2007. Т. 47. N 5. С. 50 - 57.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17" w:name="P1382"/>
      <w:bookmarkEnd w:id="317"/>
      <w:r>
        <w:t>348. Braunwald E. et al. Idiopathic hypertrophic subaortic stenosis: a description of the disease based upon an analysis of 64 patients//Circulation. 1964. Vol. 30, N 4. P. 3 - 119.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18" w:name="P1383"/>
      <w:bookmarkEnd w:id="318"/>
      <w:r>
        <w:t>349. Okeie K. et al. Left ventricular systolic dysfunction during exercise and dobutamine stress in patients with hypertrophic cardiomyopathy//J. Am. Coll. Cardiol. 2000. Vol. 36, N 3. P. 856 - 863.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19" w:name="P1384"/>
      <w:bookmarkEnd w:id="319"/>
      <w:r>
        <w:t>350. Epstein S.E., Rosing D.R. Verapamil: Its potential for causing serious complications in patients with hypertrophic cardiomyopathy//Circulation. 1981. Vol. 64, N 3. P. 437 - 441.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20" w:name="P1385"/>
      <w:bookmarkEnd w:id="320"/>
      <w:r>
        <w:lastRenderedPageBreak/>
        <w:t>351. Shimada Y.J. et al. Effects of Losartan on Left Ventricular Hypertrophy and Fibrosis in Patients With Nonobstructive Hypertrophic Cardiomyopathy//JACC Hear. Fail. 2013. Vol. 1, N 6. P. 480 - 487.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21" w:name="P1386"/>
      <w:bookmarkEnd w:id="321"/>
      <w:r>
        <w:t>352. Udelson J.E. et al. Verapamil prevents silent myocardial perfusion abnormalities during exercise in asymptomatic patients with hypertrophic cardiomyopathy//Circulation. 1989. Vol. 79, N 5. P. 1052 - 1060.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22" w:name="P1387"/>
      <w:bookmarkEnd w:id="322"/>
      <w:r>
        <w:t>353. Wilmshurst P.T. et al. Effects of verapamil on haemodynamic function and myocardial metabolism in patients with hypertrophic cardiomyopathy//Heart. 1986. Vol. 56, N 6. P. 544 - 553.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23" w:name="P1388"/>
      <w:bookmarkEnd w:id="323"/>
      <w:r>
        <w:t>354. Argulian E. et al. Antihypertensive therapy in hypertrophic cardiomyopathy//Am. J. Cardiol. 2013. Vol. 111, N 7. P. 1040 - 1045.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24" w:name="P1389"/>
      <w:bookmarkEnd w:id="324"/>
      <w:r>
        <w:t>355. Olivotto I. et al. Patterns of disease progression in hypertrophic cardiomyopathy an individualized approach to clinical staging//Circ. Hear. Fail. 2012. Vol. 5, N 4. P. 535 - 546.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25" w:name="P1390"/>
      <w:bookmarkEnd w:id="325"/>
      <w:r>
        <w:t>356. Robinson K. et al. Atrial fibrillation in hypertrophie cardiomyopathy: A longitudinal study//J. Am. Coll. Cardiol. 1990. Vol. 15, N 6. P. 1279 - 1285.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26" w:name="P1391"/>
      <w:bookmarkEnd w:id="326"/>
      <w:r>
        <w:t>357. Olivotto I. et al. Impact of atrial fibrillation on the clinical course of hypertrophic cardiomyopathy//Circulation. 2001. Vol. 104, N 21. P. 2517 - 2524.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27" w:name="P1392"/>
      <w:bookmarkEnd w:id="327"/>
      <w:r>
        <w:t>358. Maron B.J. et al. Prevalence of hypertrophic cardiomyopathy in a general population of young adults: Echocardiographic analysis of 4111 subjects in the CARDIA study//Circulation. 1995. Vol. 92, N 4. P. 785 - 789.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28" w:name="P1393"/>
      <w:bookmarkEnd w:id="328"/>
      <w:r>
        <w:t>359. Camm A.J. et al. 2012 focused update of the ESC Guidelines for the management of atrial: Fibrillation An update of the 2010 ESC Guidelines for the management of atrial fibrillation: Developed with the special contribution of the European Heart Rhythm Association//Europace. 2012. Vol. 14, N 10. P. 1385 - 1413.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29" w:name="P1394"/>
      <w:bookmarkEnd w:id="329"/>
      <w:r>
        <w:t>360. Camm C.F., Camm A.J. Atrial fibrillation and anticoagulation in hypertrophic cardiomyopathy//Arrhythmia Electrophysiol. Rev. 2017. Vol. 6, N 2. P. 63 - 68.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361. Di Cori A. et al. Role of cardiac electronic implantable device in the stratification and management of embolic risk of silent atrial fibrillation: are all atrial fibrillations created equal?//Expert Rev. Cardiovasc. Ther. 2018. Vol. 16, N 3. P. 175 - 181.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362. van Velzen H.G. et al. Incidence of Device-Detected Atrial Fibrillation and Long-Term Outcomes in Patients With Hypertrophic Cardiomyopathy//Am. J. Cardiol. 2017. Vol. 119, N 1. P. 100 - 105.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363. Brambatti M. et al. Temporal relationship between subclinical atrial fibrillation and embolic events//Circulation. 2014. Vol. 129, N 21. P. 2094 - 2099.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30" w:name="P1398"/>
      <w:bookmarkEnd w:id="330"/>
      <w:r>
        <w:t>364. Camm A.J. et al. Guidelines for the management of atrial fibrillation: the Task Force for the Management of Atrial Fibrillation of the European Society of Cardiology (ESC)//Eur. Heart J. 2010. Vol. 31, N 19. P. 2369 - 2429.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31" w:name="P1399"/>
      <w:bookmarkEnd w:id="331"/>
      <w:r>
        <w:t>365. Miller C.A.S. et al. Safety, Side Effects and Relative Efficacy of Medications for Rhythm Control of Atrial Fibrillation in Hypertrophic Cardiomyopathy//Am. J. Cardiol. 2019. Vol. 123, N 11. P. 1859 - 1862.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32" w:name="P1400"/>
      <w:bookmarkEnd w:id="332"/>
      <w:r>
        <w:t>366. Schaufelberger M. Cardiomyopathy and pregnancy//Heart. 2019. Vol. 105, N 20. P. 1543 - 1551.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33" w:name="P1401"/>
      <w:bookmarkEnd w:id="333"/>
      <w:r>
        <w:t xml:space="preserve">367. Azarbal F. et al. Exercise capacity and paroxysmal atrial fibrillation in patients with </w:t>
      </w:r>
      <w:r>
        <w:lastRenderedPageBreak/>
        <w:t>hypertrophic cardiomyopathy//Heart. 2014. Vol. 100, N 8. P. 624 - 630.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34" w:name="P1402"/>
      <w:bookmarkEnd w:id="334"/>
      <w:r>
        <w:t>368. Pisters R. et al. A novel user-friendly score (HAS-BLED) to assess 1-year risk of major bleeding in patients with atrial fibrillation: The euro heart survey//Chest. 2010. Vol. 138, N 5. P. 1093 - 1100.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35" w:name="P1403"/>
      <w:bookmarkEnd w:id="335"/>
      <w:r>
        <w:t>369. Lee H.J. et al. Novel Oral Anticoagulants for Primary Stroke Prevention in Hypertrophic Cardiomyopathy Patients with Atrial Fibrillation//Stroke. 2019. Vol. 50, N 9. P. 2582 - 2586.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370. Dominguez F. et al. Direct oral anticoagulants in patients with hypertrophic cardiomyopathy and atrial fibrillation//Int. J. Cardiol. 2017. Vol. 248. P. 232 - 238.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371. Li B. et al. Could direct oral anticoagulants be an alternative to vitamin K antagonists in patients with hypertrophic cardiomyopathy and atrial fibrillation?//Int. J. Cardiol. 2018. Vol. 256. P. 39.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372. Lozier M.R. et al. Thromboembolic outcomes of different anticoagulation strategies for patients with atrial fibrillation in the setting of hypertrophic cardiomyopathy: A systematic review//J. Atr. Fibrillation. 2020. Vol. 12, N 4. P. 2207.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36" w:name="P1407"/>
      <w:bookmarkEnd w:id="336"/>
      <w:r>
        <w:t>373. Ruff C.T. et al. Comparison of the efficacy and safety of new oral anticoagulants with warfarin in patients with atrial fibrillation: A meta-analysis of randomised trials//Lancet. 2014. Vol. 383, N 9921. P. 955 - 962.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37" w:name="P1408"/>
      <w:bookmarkEnd w:id="337"/>
      <w:r>
        <w:t>374. Zhou Y. et al. Non-vitamin K antagonist oral anticoagulants in patients with hypertrophic cardiomyopathy and atrial fibrillation: a systematic review and meta-analysis//J. Thromb. Thrombolysis. 2019. P. doi: 10.1007/s11239-019-02008-3. Epub ahead of print.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38" w:name="P1409"/>
      <w:bookmarkEnd w:id="338"/>
      <w:r>
        <w:t>375. Connolly S.J. et al. Dabigatran versus warfarin in patients with atrial fibrillation//N. Engl. J. Med. 2009. Vol. 361, N 12. P. 1139 - 1151.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39" w:name="P1410"/>
      <w:bookmarkEnd w:id="339"/>
      <w:r>
        <w:t xml:space="preserve">376. </w:t>
      </w:r>
      <w:r>
        <w:rPr>
          <w:noProof/>
          <w:position w:val="-4"/>
        </w:rPr>
        <w:drawing>
          <wp:inline distT="0" distB="0" distL="0" distR="0">
            <wp:extent cx="974725" cy="199390"/>
            <wp:effectExtent l="0" t="0" r="0" b="0"/>
            <wp:docPr id="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A. et al. Dabigatran, Rivaroxaban, or Apixaban versus Warfarin in Patients with Nonvalvular Atrial Fibrillation: A Systematic Review and Meta-Analysis of Subgroups//Thrombosis. 2013. Vol. 2013. Article ID 640723.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40" w:name="P1411"/>
      <w:bookmarkEnd w:id="340"/>
      <w:r>
        <w:t>377. Бокерия Л.А. и др. Клинические рекомендации "Фибрилляция предсердий". Москва, 2017. 65 с. с.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41" w:name="P1412"/>
      <w:bookmarkEnd w:id="341"/>
      <w:r>
        <w:t>378. Connolly S.J. et al. Effect of clopidogrel added to aspirin in patients with atrial fibrillation//N. Engl. J. Med. 2009. Vol. 360, N 20. P. 2066 - 2078.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42" w:name="P1413"/>
      <w:bookmarkEnd w:id="342"/>
      <w:r>
        <w:t>379. Бокерия Л.А. и др. Хирургическое лечение фибрилляции предсердий: современное состояние проблемы//Анналы аритмологии. 2009. Т. 6. N 2. С. 5 - 11.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43" w:name="P1414"/>
      <w:bookmarkEnd w:id="343"/>
      <w:r>
        <w:t>380. Nishimura R.A., Schaff H.V. Septal myectomy for patients with hypertrophic cardiomyopathy: A new paradigm//J. Thorac. Cardiovasc. Surg. 2016. Vol. 151, N 2. P. 303 - 304.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44" w:name="P1415"/>
      <w:bookmarkEnd w:id="344"/>
      <w:r>
        <w:t>381. Swistel D.G., Balaram S.K. Surgical Myectomy for Hypertrophic Cardiomyopathy in the 21st Century, the Evolution of the "RPR" Repair: Resection, Plication, and Release//Prog. Cardiovasc. Dis. 2012. Vol. 54, N 6. P. 498 - 502.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45" w:name="P1416"/>
      <w:bookmarkEnd w:id="345"/>
      <w:r>
        <w:t>382. Swistel D.G., Sherrid M.V. The surgical management of obstructive hypertrophic cardiomyopathy: The RPR procedure-resection, plication, release//Ann. Cardiothorac. Surg. 2017. Vol. 6, N 4. P. 423 - 425.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383. Veselka J. et al. Long-term clinical outcome after alcohol septal ablation for obstructive hypertrophic cardiomyopathy: Results from the Euro-ASA registry//Eur. Heart J. 2016. Vol. 37, N 19. P. 1517 - 1523.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46" w:name="P1418"/>
      <w:bookmarkEnd w:id="346"/>
      <w:r>
        <w:lastRenderedPageBreak/>
        <w:t>384. Afanasyev A.V. et al. Myectomy Versus Alcohol Septal Ablation in Patients With Hypertrophic Obstructive Cardiomyopathy//Interact. Cardiovasc. Thorac. Surg. 2020. Article number ivaa075. Epub ahead of print.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47" w:name="P1419"/>
      <w:bookmarkEnd w:id="347"/>
      <w:r>
        <w:t>385. Bogachev-Prokophiev A. et al. Mitral Valve Repair or Replacement in Hypertrophic Obstructive Cardiomyopathy: A Prospective Randomized Study//Interact. Cardiovasc. Thorac. Surg. 2017. Vol. 25, N 3. P. 356 - 362.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386. Bogachev-Prokophiev A. et al. Septal Myectomy With Vs Without Subvalvular Apparatus Intervention in Patients With Hypertrophic Obstructive Cardiomyopathy: A Prospective Randomized Study//Semin. Thorac. Cardiovasc. Surg. 2019. Vol. 31, N 3. P. 424 - 431.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48" w:name="P1421"/>
      <w:bookmarkEnd w:id="348"/>
      <w:r>
        <w:t>387. Afanasyev A. et al. Myectomy With Mitral Valve Repair Versus Replacement in Adult Patients With Hypertrophic Obstructive Cardiomyopathy: A Systematic Review and Meta-Analysis//Interact. Cardiovasc. Thorac. Surg. 2019. Vol. 28, N 3. P. 465 - 472.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49" w:name="P1422"/>
      <w:bookmarkEnd w:id="349"/>
      <w:r>
        <w:t>388. Гурщенков А.В. и др. Пятилетний опыт использования мобилизации сердца при септальной миоэктомии//Кардиология и сердечно-сосудистая хирургия. 2018. Т. 11. N 4. С. 54 - 58.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389. Agarwal S. et al. Updated Meta-Analysis of Septal Alcohol Ablation Versus Myectomy for Hypertrophic Cardiomyopathy//J. Am. Coll. Cardiol. 2010. Vol. 55, N 8. P. 823 - 834.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390. Alam M., Dokainish H., Lakkis N.M. Hypertrophic obstructive cardiomyopathy-alcohol septal ablation vs. myectomy: a meta-analysis//Eur. Heart J. 2009. Vol. 30, N 9. P. 1080 - 1087.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50" w:name="P1425"/>
      <w:bookmarkEnd w:id="350"/>
      <w:r>
        <w:t>391. Swistel D.G., Balaram S.K. Resection, Plication, Release--the RPR Procedure for Obstructive Hypertrophic Cardiomyopathy//Anadolu Kardiyol Derg. 2006. Vol. 6, N Suppl 2. P. 31 - 36.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392. Каштанов М.Г. и др. Этаноловая септальная аблация в лечении обструктивной гипертрофической кардиомиопатии: отбор пациентов и рациональность ее применения//Патология кровообращения и кардиохирургия. 2017. Т. 21. N 1. С. 104 - 116.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51" w:name="P1427"/>
      <w:bookmarkEnd w:id="351"/>
      <w:r>
        <w:t>393. Batzner A. et al. Hypertrophic obstructive cardiomyopathy-the role of myectomy and percutaneous septal ablation in drug-refractory disease//Dtsch. Aerzteblatt Online. 2019. Vol. 116, N 4. P. 47 - 53.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52" w:name="P1428"/>
      <w:bookmarkEnd w:id="352"/>
      <w:r>
        <w:t>394. Сухов В.К. и др. Спиртовая септальная абляция при обструктивной гипертрофической кардиомиопатии//Международный журнал интервенционной кардиоангиологии. 2013. N 35. С. 75.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395. Schaff H.V. et al. Expanding the indications for septal myectomy in patients with hypertrophic cardiomyopathy: Results of operation in patients with latent obstruction//J. Thorac. Cardiovasc. Surg. 2012. Vol. 143, N 2. P. 303 - 309.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396. McCully R.B. et al. Extent of clinical improvement after surgical treatment of hypertrophic obstructive cardiomyopathy//Circulation. 1996. Vol. 94, N 3. P. 467 - 471.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397. Orme N.M. et al. Comparison of surgical septal myectomy to medical therapy alone in patients with hypertrophic cardiomyopathy and syncope//Am. J. Cardiol. 2013. Vol. 111, N 3. P. 388 - 392.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53" w:name="P1432"/>
      <w:bookmarkEnd w:id="353"/>
      <w:r>
        <w:t>398. Halpern D.G. et al. Echocardiography before and after resect-plicate-release surgical myectomy for obstructive hypertrophic cardiomyopathy//J. Am. Soc. Echocardiogr. 2015. Vol. 28, N 11. P. 1318 - 1328.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399. Kaple R.K. et al. Mitral Valve Abnormalities in Hypertrophic Cardiomyopathy: </w:t>
      </w:r>
      <w:r>
        <w:lastRenderedPageBreak/>
        <w:t>Echocardiographic Features and Surgical Outcomes//Ann. Thorac. Surg. 2008. Vol. 85, N 5. P. 1527 - 1535.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400. Kofflard M.J. et al. Initial results of combined anterior mitral leaflet extension and myectomy in patients with obstructive hypertrophic cardiomyopathy//J. Am. Coll. Cardiol. 1996. Vol. 28, N 1. P. 197 - 202.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401. Schoendube F.A. et al. Long-term clinical and echocardiographic follow-up after surgical correction of hypertrophic obstructive cardiomyopathy with extended myectomy and reconstruction of the subvalvular mitral apparatus//Circulation. 1995. Vol. 92, N 9. P. ii122 - 127.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54" w:name="P1436"/>
      <w:bookmarkEnd w:id="354"/>
      <w:r>
        <w:t>402. Steggerda R.C. et al. Periprocedural complications and long-term outcome after alcohol septal ablation versus surgical myectomy in hypertrophic obstructive cardiomyopathy a single-center experience//JACC Cardiovasc. Interv. 2014. Vol. 7, N 11. P. 1227 - 1234.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55" w:name="P1437"/>
      <w:bookmarkEnd w:id="355"/>
      <w:r>
        <w:t>403. Богачев-Прокофьев А.В. и др. Эффективность расширенной миоэктомии у пациентов с желудочковой обструкцией при гипертрофической кардиомиопатии//Кардиология. 2017. Т. 57. N 5. С. 38 - 43.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56" w:name="P1438"/>
      <w:bookmarkEnd w:id="356"/>
      <w:r>
        <w:t>404. Borisov K.V. Right ventricle myectomy//Ann. Cardiothorac. Surg. 2017. Vol. 6, N 4. P. 402 - 409.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57" w:name="P1439"/>
      <w:bookmarkEnd w:id="357"/>
      <w:r>
        <w:t>405. Wehman B. et al. Transmitral Septal Myectomy for Hypertrophic Obstructive Cardiomyopathy//Ann. Thorac. Surg. 2018. Vol. 105, N 4. P. 1102 - 1108.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58" w:name="P1440"/>
      <w:bookmarkEnd w:id="358"/>
      <w:r>
        <w:t>406. Бокерия Л.А., Борисов К.В., Синев А.Ф. Улучшение диастолической функции левого и правого желудочков сердца после хирургической коррекции гипертрофической обструктивной кардиомиопатии при помощи оригинального способа//Грудная и сердечно-сосудистая хирургия. 1999. Т. 4. С. 4 - 10.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407. Бокерия Л.А. Гипертрофическая обструктивная кардиомиопатия//Анналы хирургии. 2013. Т. 5. С. 5 - 14.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59" w:name="P1442"/>
      <w:bookmarkEnd w:id="359"/>
      <w:r>
        <w:t>408. Takahashi J. et al. Septal Myectomy, Papillary Muscle Resection, and Mitral Valve Replacement for Hypertrophic Obstructive Cardiomyopathy: A Case Report//Ann Thorac Cardiovasc Surg. 2008. Vol. 14, N 4. P. 258 - 262.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60" w:name="P1443"/>
      <w:bookmarkEnd w:id="360"/>
      <w:r>
        <w:t>409. Cooley D.A., Wukasch D.C., Leachman R.D. Mitral valve replacement for idiopathic hypertrophic subaortic stenosis. Results in 27 patients.//J. Cardiovasc. Surg. 1976. Vol. 17, N 5. P. 380 - 387.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61" w:name="P1444"/>
      <w:bookmarkEnd w:id="361"/>
      <w:r>
        <w:t>410. Stassano P. et al. Mitral Valve Replacement and Limited Myectomy for Hypertrophic Obstructive Cardiomyopathy: A 25-Year Follow-Up//Texas Hear. Inst. J. 2004. Vol. 31, N 2. P. 137 - 142.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62" w:name="P1445"/>
      <w:bookmarkEnd w:id="362"/>
      <w:r>
        <w:t>411. Reis R.L. et al. Anterion-superior displacement of papillary muscles producing obstruction and mitral regurgitation in idiopathic hypertrophic subaortic stenosis. Operative relief by posterior-superior realignment of papillary muscles following ventricular septal myectomy//Circulation. 1974. Vol. 50, N 2. P. ii181 - 188.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63" w:name="P1446"/>
      <w:bookmarkEnd w:id="363"/>
      <w:r>
        <w:t>412. Shimahara Y. et al. Combined mechanical mitral valve replacement and transmitral myectomy for hypertrophic obstructive cardiomyopathy treatment: An experience of over 20 years//J. Cardiol. 2019. Vol. 73, N 4. P. 318 - 325.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64" w:name="P1447"/>
      <w:bookmarkEnd w:id="364"/>
      <w:r>
        <w:t>413. Topilski I. et al. Long-Term Effects of Dual-Chamber Pacing With Periodic Echocardiographic Evaluation of Optimal Atrioventricular Delay in Patients With Hypertrophic Cardiomyopathy &gt; 50 Years of Age//Am. J. Cardiol. 2006. Vol. 97, N 12. P. 1769 - 1775.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414. Хирманов В.Н. и др. Отдаленные результаты лечения гипертрофической кардиомиопатии с помощью постоянной двукамерной электрокардиостимуляции//Кардиология. 2002. Т. 8. С. 46 - 47.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65" w:name="P1449"/>
      <w:bookmarkEnd w:id="365"/>
      <w:r>
        <w:t>415. Трешкур Т.В. и др. Внутрисердечная гемодинамика у больных гипертрофической кардиомиопатией при лечении постоянной двукамерной электрокардиостимуляцией//Вестник аритмологии. 1995. Т. 4. С. 248.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416. Daubert C. et al. Pacing for hypertrophic obstructive cardiomyopathy: an update and future directions.//Europace. 2018. Vol. 20, N 6. P. 908 - 920.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66" w:name="P1451"/>
      <w:bookmarkEnd w:id="366"/>
      <w:r>
        <w:t>417. Quintana E., Cox J.L. Surgical management of atrial fibrillation at the time of septal myectomy//Ann. Cardiothorac. Surg. 2017. Vol. 6, N 4. P. 386 - 393.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418. Бокерия Л.А. и др. Хирургическая коррекция обструктивной гипертрофической кардиомиопатии с SAM-синдромом и фибрилляцией предсердий//Анналы аритмологии. 2016. Т. 13. N 4. С. 216 - 221.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419. Бокерия Л.А. и др. Сочетанная операция миоэктомии межжелудочковой перегородки из правого желудочка и эпикардиальная криомодификация операции "лабиринт"//Анналы аритмологии. 2013. Т. 10. N 2. С. 64 - 68.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67" w:name="P1454"/>
      <w:bookmarkEnd w:id="367"/>
      <w:r>
        <w:t>420. Bogachev-Prokophiev A.V. et al. Concomitant ablation for atrial fibrillation during septal myectomy in patients with hypertrophic obstructive cardiomyopathy//J. Thorac. Cardiovasc. Surg. 2018. Vol. 155, N 4. P. 1536 - 1542.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68" w:name="P1455"/>
      <w:bookmarkEnd w:id="368"/>
      <w:r>
        <w:t>421. Monserrat L. et al. Non-sustained ventricular tachycardia in hypertrophic cardiomyopathy: An independent marker of sudden death risk in young patients//J. Am. Coll. Cardiol. 2003. Vol. 42, N 5. P. 873 - 879.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422. Moya A. et al. Guidelines for the diagnosis and management of syncope (version 2009)//Eur. Heart J. 2009. Vol. 30, N 21. P. 2631 - 2671.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69" w:name="P1457"/>
      <w:bookmarkEnd w:id="369"/>
      <w:r>
        <w:t>423. Sherrid M.V., Massera D. Risk Stratification and Hypertrophic Cardiomyopathy Subtypes//J. Am. Coll. Cardiol. 2019. Vol. 74, N 19. P. 2346 - 2349.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70" w:name="P1458"/>
      <w:bookmarkEnd w:id="370"/>
      <w:r>
        <w:t>424. Mentias A. et al. Late Gadolinium Enhancement in Patients With Hypertrophic Cardiomyopathy and Preserved Systolic Function//J. Am. Coll. Cardiol. 2018. Vol. 72, N 8. P. 857 - 870.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71" w:name="P1459"/>
      <w:bookmarkEnd w:id="371"/>
      <w:r>
        <w:t>425. Бельских Л.В. и др. Трансплантация сердца и механическая поддержка кровообращения. Национальные клинические рекомендации. 2016. 115 с. с.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72" w:name="P1460"/>
      <w:bookmarkEnd w:id="372"/>
      <w:r>
        <w:t>426. Topilsky Y. et al. Left ventricular assist device therapy in patients with restrictive and hypertrophic cardiomyopathy//Circ. Hear. Fail. 2011. Vol. 4, N 3. P. 266 - 275.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73" w:name="P1461"/>
      <w:bookmarkEnd w:id="373"/>
      <w:r>
        <w:t>427. Biagini E. et al. Heart Transplantation in Hypertrophic Cardiomyopathy//Am. J. Cardiol. 2008. Vol. 101, N 3. P. 387 - 392.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74" w:name="P1462"/>
      <w:bookmarkEnd w:id="374"/>
      <w:r>
        <w:t>428. Стрюк Р.И. и др. Диагностика и лечение сердечно-сосудистых заболеваний при беременности 2018. Национальные рекомендации//Российский кардиологический журнал. 2018. Т. 3. N 155. С. 91 - 134.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75" w:name="P1463"/>
      <w:bookmarkEnd w:id="375"/>
      <w:r>
        <w:t>429. Goland S. et al. Pregnancy in women with hypertrophic cardiomyopathy: data from the European Society of Cardiology initiated Registry of Pregnancy and Cardiac disease (ROPAC)//Eur Hear. J. 2017. Vol. 38, N 35. P. 2683 - 2690.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76" w:name="P1464"/>
      <w:bookmarkEnd w:id="376"/>
      <w:r>
        <w:t xml:space="preserve">430. Regitz-Zagrosek V. et al. 2018 ESC Guidelines for the management of cardiovascular diseases </w:t>
      </w:r>
      <w:r>
        <w:lastRenderedPageBreak/>
        <w:t>during pregnancy//Eur. Heart J. 2018. Vol. 39, N 34. P. 3165 - 3241.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77" w:name="P1465"/>
      <w:bookmarkEnd w:id="377"/>
      <w:r>
        <w:t>431. Bowyer L. The Confidential Enquiry into Maternal and Child Health (CEMACH). Saving Mothers' Lives: reviewing maternal deaths to make motherhood safer 2003 - 2005. The Seventh Report of the Confidential Enquiries into Maternal Deaths in the UK//Obstet. Med. 2008. Vol. 1, N 1. P. 54 - 54.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78" w:name="P1466"/>
      <w:bookmarkEnd w:id="378"/>
      <w:r>
        <w:t>432. Billebeau G. et al. Pregnancy in women with a cardiomyopathy: Outcomes and predictors from a retrospective cohort//Arch. Cardiovasc. Dis. 2018. Vol. 111, N 3. P. 199 - 209.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79" w:name="P1467"/>
      <w:bookmarkEnd w:id="379"/>
      <w:r>
        <w:t>433. Krul S.P. et al. Systematic Review of Pregnancy in Women With Inherited Cardiomyopathies//Eur J Hear. Fail. 2011. Vol. 13. P. 584 - 594.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80" w:name="P1468"/>
      <w:bookmarkEnd w:id="380"/>
      <w:r>
        <w:t>434. Tromp C.H.N. et al. Electrical cardioversion during pregnancy: Safe or not?//Netherlands Hear. J. 2011. Vol. 19, N 3. P. 134 - 136.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81" w:name="P1469"/>
      <w:bookmarkEnd w:id="381"/>
      <w:r>
        <w:t>435. Maron M.S. et al. Prevalence, clinical significance, and natural history of left ventricular apical aneurysms in hypertrophic cardiomyopathy//Circulation. 2008. Vol. 118, N 15. P. 1541 - 1549.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82" w:name="P1470"/>
      <w:bookmarkEnd w:id="382"/>
      <w:r>
        <w:t>436. Burton H., Alberg C., Stewart A. Heart to Heart: Inherited Cardiovascular Conditions Services - A Needs Assessment and Service Review. 2009. 163 p.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83" w:name="P1471"/>
      <w:bookmarkEnd w:id="383"/>
      <w:r>
        <w:t>437. Canepa M. et al. Distinguishing ventricular septal bulge versus hypertrophic cardiomyopathy in the elderly//Heart. 2016. Vol. 102, N 14. P. 1087 - 1094.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84" w:name="P1472"/>
      <w:bookmarkEnd w:id="384"/>
      <w:r>
        <w:t>438. Olesen J.B. et al. Validation of risk stratification schemes for predicting stroke and thromboembolism in patients with atrial fibrillation: Nationwide cohort study//BMJ. 2011. Vol. 342, N 7792. P. 320.</w:t>
      </w:r>
    </w:p>
    <w:p w:rsidR="00D02866" w:rsidRDefault="00D02866">
      <w:pPr>
        <w:pStyle w:val="ConsPlusNormal"/>
        <w:spacing w:before="220"/>
        <w:ind w:firstLine="540"/>
        <w:jc w:val="both"/>
      </w:pPr>
      <w:bookmarkStart w:id="385" w:name="P1473"/>
      <w:bookmarkEnd w:id="385"/>
      <w:r>
        <w:t>439. Lip G.Y.H. et al. Comparative validation of a novel risk score for predicting bleeding risk in anticoagulated patients with atrial fibrillation: The HAS-BLED (hypertension, abnormal renal/liver function, stroke, bleeding history or predisposition, labile INR, elderly, drug//J. Am. Coll. Cardiol. 2011. Vol. 57, N 2. P. 173 - 180.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0"/>
      </w:pPr>
      <w:r>
        <w:t>Приложение А1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r>
        <w:t>СОСТАВ РАБОЧЕЙ ГРУППЫ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Президиум рабочей группы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Габрусенко С.А.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Гудкова А.Я.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3. Козиолова Н.А.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Другие члены рабочей группы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Александрова С.А.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2. Берсенева М.И.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3. Гордеев М.Л.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4. Дземешкевич С.Л.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5. Заклязьминская Е.В.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6. Каплунова В.Ю.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7. Костарева А.А.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8. Крутиков А.Н.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9. Маленков Д.А.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10. Новикова Т.Н.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11. Саидова М.А.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12. Санакоев М.К.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13. Стукалова О.В.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Члены Рабочей группы подтвердили отсутствие финансовой поддержки/конфликта интересов. В случае сообщения о наличии конфликта интересов член(ы) рабочей группы был(и) исключен(ы) из обсуждения разделов, связанных с областью конфликта интересов.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0"/>
      </w:pPr>
      <w:r>
        <w:t>Приложение А2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r>
        <w:t>МЕТОДОЛОГИЯ РАЗРАБОТКИ КЛИНИЧЕСКИХ РЕКОМЕНДАЦИЙ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ind w:firstLine="540"/>
        <w:jc w:val="both"/>
      </w:pPr>
      <w:r>
        <w:t>Вследствие того, что члены Российского кардиологического общества входят в состав Европейского общества кардиологов и также являются его членами, все рекомендации Европейского общества кардиологов (ЕОК) формируются с участием российских экспертов, которые являются соавторами европейских рекомендаций. Таким образом, существующие рекомендации ЕОК отражают общее мнение ведущих российских и европейских кардиологов. В связи с этим формирование Национальных рекомендаций проводилось на основе рекомендаций ЕОК, с учетом национальной специфики, особенностей обследования, лечения, учитывающие доступность медицинской помощи. По этой причине в тексте настоящих клинических рекомендаций одновременно использованы две шкалы оценки достоверности доказательств тезисов рекомендаций: уровни достоверности доказательств ЕОК с УУР и УДД. Добавлены классы рекомендаций ЕОК, позволяющие оценить необходимость выполнения тезиса рекомендаций (</w:t>
      </w:r>
      <w:hyperlink w:anchor="P1523">
        <w:r>
          <w:rPr>
            <w:color w:val="0000FF"/>
          </w:rPr>
          <w:t>Таблицы 1</w:t>
        </w:r>
      </w:hyperlink>
      <w:r>
        <w:t xml:space="preserve">, </w:t>
      </w:r>
      <w:hyperlink w:anchor="P1538">
        <w:r>
          <w:rPr>
            <w:color w:val="0000FF"/>
          </w:rPr>
          <w:t>2</w:t>
        </w:r>
      </w:hyperlink>
      <w:r>
        <w:t xml:space="preserve">, </w:t>
      </w:r>
      <w:hyperlink w:anchor="P1553">
        <w:r>
          <w:rPr>
            <w:color w:val="0000FF"/>
          </w:rPr>
          <w:t>3</w:t>
        </w:r>
      </w:hyperlink>
      <w:r>
        <w:t>, 4).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Представленные Рекомендации разработаны на основе Российских рекомендаций по диагностике и лечению гипертрофической кардиомиопатии 2016 года, рекомендаций по диагностике и лечению гипертрофической кардиомиопатии Европейского общества кардиологов 2014 года, созданных на основе многолетнего опыта и большого количества исследований по различным аспектам диагностики и лечения ГКМП. В Рекомендациях изложены основные аспекты патогенеза, клинического течения, методы диагностики и принципы лечения пациентов с ГКМП с учетом индивидуальных особенностей пациента.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Целевая аудитория данных клинических рекомендаций: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1. Врач-кардиолог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2. Врач-терапевт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3. Врач общей практики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4. Врач сердечно-сосудистый хирург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5. Врач функциональной диагностики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6. Врач лучевой диагностики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bookmarkStart w:id="386" w:name="P1523"/>
      <w:bookmarkEnd w:id="386"/>
      <w:r>
        <w:t>Таблица 1. Шкала оценки уровней достоверности доказательств (УДД) для методов диагностики (диагностических вмешательств)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3"/>
        <w:gridCol w:w="8277"/>
      </w:tblGrid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center"/>
            </w:pPr>
            <w:r>
              <w:t>УДД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 исследований, с применением метаанализа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Исследования без последовательного контроля референсным методом или исследования с референсным методом, не являющимся независимым от исследуемого метода, или нерандомизированные сравнительные исследования, в том числе когортные исследования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Несравнительные исследования, описание клинического случая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Имеется лишь обоснование механизма действия или мнение экспертов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bookmarkStart w:id="387" w:name="P1538"/>
      <w:bookmarkEnd w:id="387"/>
      <w:r>
        <w:t>Таблица 2. 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3"/>
        <w:gridCol w:w="8277"/>
      </w:tblGrid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center"/>
            </w:pPr>
            <w:r>
              <w:t>УДД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Систематический обзор РКИ с применением метаанализа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Отдельные РКИ и систематические обзоры исследований любого дизайна, за исключением РКИ, с применением метаанализа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Нерандомизированные сравнительные исследования, в т.ч. когортные исследования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Несравнительные исследования, описание клинического случая или серии случаев, исследования "случай-контроль"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bookmarkStart w:id="388" w:name="P1553"/>
      <w:bookmarkEnd w:id="388"/>
      <w:r>
        <w:t>Таблица 3. Шкала оценки уровней убедительности рекомендаций 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3"/>
        <w:gridCol w:w="8277"/>
      </w:tblGrid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center"/>
            </w:pPr>
            <w:r>
              <w:t>УУР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center"/>
            </w:pPr>
            <w:r>
              <w:t>Расшифровка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bookmarkStart w:id="389" w:name="P1557"/>
            <w:bookmarkEnd w:id="389"/>
            <w:r>
              <w:t>A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bookmarkStart w:id="390" w:name="P1559"/>
            <w:bookmarkEnd w:id="390"/>
            <w:r>
              <w:t>B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D02866">
        <w:tc>
          <w:tcPr>
            <w:tcW w:w="793" w:type="dxa"/>
          </w:tcPr>
          <w:p w:rsidR="00D02866" w:rsidRDefault="00D02866">
            <w:pPr>
              <w:pStyle w:val="ConsPlusNormal"/>
              <w:jc w:val="both"/>
            </w:pPr>
            <w:bookmarkStart w:id="391" w:name="P1561"/>
            <w:bookmarkEnd w:id="391"/>
            <w:r>
              <w:t>C</w:t>
            </w:r>
          </w:p>
        </w:tc>
        <w:tc>
          <w:tcPr>
            <w:tcW w:w="8277" w:type="dxa"/>
          </w:tcPr>
          <w:p w:rsidR="00D02866" w:rsidRDefault="00D02866">
            <w:pPr>
              <w:pStyle w:val="ConsPlusNormal"/>
              <w:jc w:val="both"/>
            </w:pPr>
            <w: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>Порядок обновления клинических рекомендаций.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Механизм обновления клинических рекомендаций предусматривает их систематическую актуализацию -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утвержденным КР, но не чаще 1 раза в 6 месяцев.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0"/>
      </w:pPr>
      <w:r>
        <w:t>Приложение А3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r>
        <w:t>СВЯЗАННЫЕ ДОКУМЕНТЫ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ind w:firstLine="540"/>
        <w:jc w:val="both"/>
      </w:pPr>
      <w:r>
        <w:t xml:space="preserve">1. </w:t>
      </w:r>
      <w:hyperlink r:id="rId30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15 ноября 2012 г. N 918н "Об утверждении Порядка оказания медицинской помощи больным с сердечно-сосудистыми заболеваниями"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2. </w:t>
      </w:r>
      <w:hyperlink r:id="rId31">
        <w:r>
          <w:rPr>
            <w:color w:val="0000FF"/>
          </w:rPr>
          <w:t>Стандарт</w:t>
        </w:r>
      </w:hyperlink>
      <w:r>
        <w:t xml:space="preserve"> медицинской помощи больным с обструктивной гипертрофической, другой гипертрофической кардиомиопатией. МИНИСТЕРСТВО ЗДРАВООХРАНЕНИЯ И СОЦИАЛЬНОГО РАЗВИТИЯ РОССИЙСКОЙ ФЕДЕРАЦИИ от 24 мая 2006 года N 380. Об утверждении стандарта медицинской помощи больным с обструктивной гипертрофической, другой гипертрофической кардиомиопатией. URL: http://docs.cntd.ru/document/901984540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3. </w:t>
      </w:r>
      <w:hyperlink r:id="rId32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15 июля 2016 г. N 520н "Об утверждении критериев оценки качества медицинской помощи"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4. </w:t>
      </w:r>
      <w:hyperlink r:id="rId33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15 июля 2016 г. N 520н "Об утверждении критериев оценки качества медицинской помощи"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5. 4. </w:t>
      </w:r>
      <w:hyperlink r:id="rId34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28.02.2019 N 103н "Об утверждении порядка и сроков разработки клинических рекомендаций, их пересмотра, типовой формы клинических рекомендаций и требований к их структуре, составу и научной обоснованности включаемой в клинические рекомендации информации" (Зарегистрирован </w:t>
      </w:r>
      <w:r>
        <w:lastRenderedPageBreak/>
        <w:t>08.05.2019 N 54588)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bookmarkStart w:id="392" w:name="P1581"/>
      <w:bookmarkEnd w:id="392"/>
      <w:r>
        <w:t>Таблица 1/А3. Правила и особенности назначения бета-адреноблокаторов при ГКМП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Бета-адреноблокаторы остаются наиболее эффективной группой лекарственных средств, применяемых в лечении ГКМП.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В связи с большей комплаентностью у пациентов рекомендуется отдавать предпочтение селективным бета-адреноблокаторам пролонгированного действия, в частности, бисопрололу**, метопрололу**.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Дозу бета-адреноблокатора рекомендуется титровать до достижения ЧСС 55 - 65 в минуту под контролем АД и симптомов.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Следует помнить о других известных побочных эффектах бета-адреноблокаторов: нарушение проводимости вплоть до полной АВ-блокады, бронхоспазм, вазоконстрикция периферических сосудов, нарушение толерантности к глюкозе, эректильная дисфункция и других.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Высокие дозы обычно хорошо переносятся. Побочные эффекты (жалобы в основном на усталость) должны быть тщательно исследованы, чтобы оценить оптимальную индивидуальную дозу для конкретного пациента.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bookmarkStart w:id="393" w:name="P1589"/>
      <w:bookmarkEnd w:id="393"/>
      <w:r>
        <w:t>Таблица 2/А3. Правила и особенности назначения верапамила** при ГКМП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Назначение верапамила** рекомендуется начинать в условиях стационара с малых доз - 20 - 40 мг 3 раза в день с постепенным их повышением при хорошей переносимости до снижения частоты сердечных сокращений в покое до 55 - 65 в минуту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Верапамил** обеспечивает симптоматический эффект у 65 - 80% пациентов, включая случаи рефрактерности к лечению бета-адреноблокаторами.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Польза верапамила** ограничена его сосудорасширяющими эффектами, которые у отдельных пациентов могут перевешивать его отрицательный инотропный эффект.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Верапамил** предпочтителен для молодых пациентов с легкой и умеренной обструкцией (ГД в ВТЛЖ в покое &lt; 50 мм рт. ст.)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Пациентам старше 65 лет необходимо назначение низких доз и титрация препарата под контролем ГД в ВТЛЖ, ЧСС (ЭКГ) и клинических симптомов.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bookmarkStart w:id="394" w:name="P1597"/>
      <w:bookmarkEnd w:id="394"/>
      <w:r>
        <w:t>Таблица 3/А3. Начальные и целевые дозы при медикаментозной терапии ГКМП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49"/>
        <w:gridCol w:w="2323"/>
        <w:gridCol w:w="2097"/>
      </w:tblGrid>
      <w:tr w:rsidR="00D02866">
        <w:tc>
          <w:tcPr>
            <w:tcW w:w="4649" w:type="dxa"/>
            <w:tcBorders>
              <w:top w:val="single" w:sz="4" w:space="0" w:color="auto"/>
              <w:bottom w:val="single" w:sz="4" w:space="0" w:color="auto"/>
            </w:tcBorders>
          </w:tcPr>
          <w:p w:rsidR="00D02866" w:rsidRDefault="00D02866">
            <w:pPr>
              <w:pStyle w:val="ConsPlusNormal"/>
              <w:jc w:val="center"/>
            </w:pPr>
            <w:r>
              <w:t>Препарат</w:t>
            </w:r>
          </w:p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:rsidR="00D02866" w:rsidRDefault="00D02866">
            <w:pPr>
              <w:pStyle w:val="ConsPlusNormal"/>
              <w:jc w:val="center"/>
            </w:pPr>
            <w:r>
              <w:t>Начальная доза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</w:tcPr>
          <w:p w:rsidR="00D02866" w:rsidRDefault="00D02866">
            <w:pPr>
              <w:pStyle w:val="ConsPlusNormal"/>
              <w:jc w:val="center"/>
            </w:pPr>
            <w:r>
              <w:t>Целевая доза</w:t>
            </w:r>
          </w:p>
        </w:tc>
      </w:tr>
      <w:tr w:rsidR="00D02866">
        <w:tblPrEx>
          <w:tblBorders>
            <w:insideH w:val="none" w:sz="0" w:space="0" w:color="auto"/>
          </w:tblBorders>
        </w:tblPrEx>
        <w:tc>
          <w:tcPr>
            <w:tcW w:w="4649" w:type="dxa"/>
            <w:tcBorders>
              <w:top w:val="single" w:sz="4" w:space="0" w:color="auto"/>
              <w:bottom w:val="nil"/>
            </w:tcBorders>
          </w:tcPr>
          <w:p w:rsidR="00D02866" w:rsidRDefault="00D02866">
            <w:pPr>
              <w:pStyle w:val="ConsPlusNormal"/>
            </w:pPr>
            <w:r>
              <w:t>- пропранолол**</w:t>
            </w:r>
          </w:p>
        </w:tc>
        <w:tc>
          <w:tcPr>
            <w:tcW w:w="2323" w:type="dxa"/>
            <w:tcBorders>
              <w:top w:val="single" w:sz="4" w:space="0" w:color="auto"/>
              <w:bottom w:val="nil"/>
            </w:tcBorders>
          </w:tcPr>
          <w:p w:rsidR="00D02866" w:rsidRDefault="00D02866">
            <w:pPr>
              <w:pStyle w:val="ConsPlusNormal"/>
            </w:pPr>
            <w:r>
              <w:t>40 - 80 мг/сутки</w:t>
            </w:r>
          </w:p>
        </w:tc>
        <w:tc>
          <w:tcPr>
            <w:tcW w:w="2097" w:type="dxa"/>
            <w:tcBorders>
              <w:top w:val="single" w:sz="4" w:space="0" w:color="auto"/>
              <w:bottom w:val="nil"/>
            </w:tcBorders>
          </w:tcPr>
          <w:p w:rsidR="00D02866" w:rsidRDefault="00D02866">
            <w:pPr>
              <w:pStyle w:val="ConsPlusNormal"/>
            </w:pPr>
            <w:r>
              <w:t>240 мг/сутки</w:t>
            </w:r>
          </w:p>
        </w:tc>
      </w:tr>
      <w:tr w:rsidR="00D02866">
        <w:tblPrEx>
          <w:tblBorders>
            <w:insideH w:val="none" w:sz="0" w:space="0" w:color="auto"/>
          </w:tblBorders>
        </w:tblPrEx>
        <w:tc>
          <w:tcPr>
            <w:tcW w:w="464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</w:pPr>
            <w:r>
              <w:t>- метопролол**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</w:pPr>
            <w:r>
              <w:t>25 - 50 мг/сутки</w:t>
            </w:r>
          </w:p>
        </w:tc>
        <w:tc>
          <w:tcPr>
            <w:tcW w:w="2097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</w:pPr>
            <w:r>
              <w:t>100 - 200 мг/сутки</w:t>
            </w:r>
          </w:p>
        </w:tc>
      </w:tr>
      <w:tr w:rsidR="00D02866">
        <w:tblPrEx>
          <w:tblBorders>
            <w:insideH w:val="none" w:sz="0" w:space="0" w:color="auto"/>
          </w:tblBorders>
        </w:tblPrEx>
        <w:tc>
          <w:tcPr>
            <w:tcW w:w="464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</w:pPr>
            <w:r>
              <w:t>- атенолол**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</w:pPr>
            <w:r>
              <w:t>25 - 50 мг/сутки</w:t>
            </w:r>
          </w:p>
        </w:tc>
        <w:tc>
          <w:tcPr>
            <w:tcW w:w="2097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</w:pPr>
            <w:r>
              <w:t>150 - 200 мг/сутки</w:t>
            </w:r>
          </w:p>
        </w:tc>
      </w:tr>
      <w:tr w:rsidR="00D02866">
        <w:tblPrEx>
          <w:tblBorders>
            <w:insideH w:val="none" w:sz="0" w:space="0" w:color="auto"/>
          </w:tblBorders>
        </w:tblPrEx>
        <w:tc>
          <w:tcPr>
            <w:tcW w:w="464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</w:pPr>
            <w:r>
              <w:t>- бисопролол**</w:t>
            </w:r>
          </w:p>
        </w:tc>
        <w:tc>
          <w:tcPr>
            <w:tcW w:w="2323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</w:pPr>
            <w:r>
              <w:t>1,25 - 2,5 мг/сутки</w:t>
            </w:r>
          </w:p>
        </w:tc>
        <w:tc>
          <w:tcPr>
            <w:tcW w:w="2097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</w:pPr>
            <w:r>
              <w:t>10 мг/сутки</w:t>
            </w:r>
          </w:p>
        </w:tc>
      </w:tr>
      <w:tr w:rsidR="00D02866">
        <w:tblPrEx>
          <w:tblBorders>
            <w:insideH w:val="none" w:sz="0" w:space="0" w:color="auto"/>
          </w:tblBorders>
        </w:tblPrEx>
        <w:tc>
          <w:tcPr>
            <w:tcW w:w="4649" w:type="dxa"/>
            <w:tcBorders>
              <w:top w:val="nil"/>
              <w:bottom w:val="single" w:sz="4" w:space="0" w:color="auto"/>
            </w:tcBorders>
          </w:tcPr>
          <w:p w:rsidR="00D02866" w:rsidRDefault="00D02866">
            <w:pPr>
              <w:pStyle w:val="ConsPlusNormal"/>
            </w:pPr>
            <w:r>
              <w:t>- соталол**</w:t>
            </w:r>
          </w:p>
        </w:tc>
        <w:tc>
          <w:tcPr>
            <w:tcW w:w="2323" w:type="dxa"/>
            <w:tcBorders>
              <w:top w:val="nil"/>
              <w:bottom w:val="single" w:sz="4" w:space="0" w:color="auto"/>
            </w:tcBorders>
          </w:tcPr>
          <w:p w:rsidR="00D02866" w:rsidRDefault="00D02866">
            <w:pPr>
              <w:pStyle w:val="ConsPlusNormal"/>
            </w:pPr>
            <w:r>
              <w:t>80 мг/сутки</w:t>
            </w:r>
          </w:p>
        </w:tc>
        <w:tc>
          <w:tcPr>
            <w:tcW w:w="2097" w:type="dxa"/>
            <w:tcBorders>
              <w:top w:val="nil"/>
              <w:bottom w:val="single" w:sz="4" w:space="0" w:color="auto"/>
            </w:tcBorders>
          </w:tcPr>
          <w:p w:rsidR="00D02866" w:rsidRDefault="00D02866">
            <w:pPr>
              <w:pStyle w:val="ConsPlusNormal"/>
            </w:pPr>
            <w:r>
              <w:t>160 - 240 мг/сутки</w:t>
            </w:r>
          </w:p>
        </w:tc>
      </w:tr>
      <w:tr w:rsidR="00D02866">
        <w:tblPrEx>
          <w:tblBorders>
            <w:insideH w:val="none" w:sz="0" w:space="0" w:color="auto"/>
          </w:tblBorders>
        </w:tblPrEx>
        <w:tc>
          <w:tcPr>
            <w:tcW w:w="4649" w:type="dxa"/>
            <w:tcBorders>
              <w:top w:val="single" w:sz="4" w:space="0" w:color="auto"/>
              <w:bottom w:val="nil"/>
            </w:tcBorders>
          </w:tcPr>
          <w:p w:rsidR="00D02866" w:rsidRDefault="00D02866">
            <w:pPr>
              <w:pStyle w:val="ConsPlusNormal"/>
            </w:pPr>
            <w:r>
              <w:lastRenderedPageBreak/>
              <w:t>- верапамил**</w:t>
            </w:r>
          </w:p>
        </w:tc>
        <w:tc>
          <w:tcPr>
            <w:tcW w:w="2323" w:type="dxa"/>
            <w:tcBorders>
              <w:top w:val="single" w:sz="4" w:space="0" w:color="auto"/>
              <w:bottom w:val="nil"/>
            </w:tcBorders>
          </w:tcPr>
          <w:p w:rsidR="00D02866" w:rsidRDefault="00D02866">
            <w:pPr>
              <w:pStyle w:val="ConsPlusNormal"/>
            </w:pPr>
            <w:r>
              <w:t>60 - 120 мг/сутки</w:t>
            </w:r>
          </w:p>
        </w:tc>
        <w:tc>
          <w:tcPr>
            <w:tcW w:w="2097" w:type="dxa"/>
            <w:tcBorders>
              <w:top w:val="single" w:sz="4" w:space="0" w:color="auto"/>
              <w:bottom w:val="nil"/>
            </w:tcBorders>
          </w:tcPr>
          <w:p w:rsidR="00D02866" w:rsidRDefault="00D02866">
            <w:pPr>
              <w:pStyle w:val="ConsPlusNormal"/>
            </w:pPr>
            <w:r>
              <w:t>240 - 480 мг/сутки</w:t>
            </w:r>
          </w:p>
        </w:tc>
      </w:tr>
      <w:tr w:rsidR="00D02866">
        <w:tblPrEx>
          <w:tblBorders>
            <w:insideH w:val="none" w:sz="0" w:space="0" w:color="auto"/>
          </w:tblBorders>
        </w:tblPrEx>
        <w:tc>
          <w:tcPr>
            <w:tcW w:w="464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</w:pPr>
            <w:r>
              <w:t>- верапамил** (пролонгированного действия)</w:t>
            </w:r>
          </w:p>
        </w:tc>
        <w:tc>
          <w:tcPr>
            <w:tcW w:w="2323" w:type="dxa"/>
            <w:tcBorders>
              <w:top w:val="nil"/>
              <w:bottom w:val="nil"/>
            </w:tcBorders>
            <w:vAlign w:val="center"/>
          </w:tcPr>
          <w:p w:rsidR="00D02866" w:rsidRDefault="00D02866">
            <w:pPr>
              <w:pStyle w:val="ConsPlusNormal"/>
            </w:pPr>
            <w:r>
              <w:t>120 мг/сутки</w:t>
            </w:r>
          </w:p>
        </w:tc>
        <w:tc>
          <w:tcPr>
            <w:tcW w:w="2097" w:type="dxa"/>
            <w:tcBorders>
              <w:top w:val="nil"/>
              <w:bottom w:val="nil"/>
            </w:tcBorders>
            <w:vAlign w:val="center"/>
          </w:tcPr>
          <w:p w:rsidR="00D02866" w:rsidRDefault="00D02866">
            <w:pPr>
              <w:pStyle w:val="ConsPlusNormal"/>
            </w:pPr>
            <w:r>
              <w:t>240 - 480 мг/сутки</w:t>
            </w:r>
          </w:p>
        </w:tc>
      </w:tr>
      <w:tr w:rsidR="00D02866">
        <w:tblPrEx>
          <w:tblBorders>
            <w:insideH w:val="none" w:sz="0" w:space="0" w:color="auto"/>
          </w:tblBorders>
        </w:tblPrEx>
        <w:tc>
          <w:tcPr>
            <w:tcW w:w="4649" w:type="dxa"/>
            <w:tcBorders>
              <w:top w:val="nil"/>
              <w:bottom w:val="single" w:sz="4" w:space="0" w:color="auto"/>
            </w:tcBorders>
          </w:tcPr>
          <w:p w:rsidR="00D02866" w:rsidRDefault="00D02866">
            <w:pPr>
              <w:pStyle w:val="ConsPlusNormal"/>
            </w:pPr>
            <w:r>
              <w:t>- дилтиазем</w:t>
            </w:r>
          </w:p>
        </w:tc>
        <w:tc>
          <w:tcPr>
            <w:tcW w:w="2323" w:type="dxa"/>
            <w:tcBorders>
              <w:top w:val="nil"/>
              <w:bottom w:val="single" w:sz="4" w:space="0" w:color="auto"/>
            </w:tcBorders>
          </w:tcPr>
          <w:p w:rsidR="00D02866" w:rsidRDefault="00D02866">
            <w:pPr>
              <w:pStyle w:val="ConsPlusNormal"/>
            </w:pPr>
            <w:r>
              <w:t>60 - 120 мг/сутки</w:t>
            </w:r>
          </w:p>
        </w:tc>
        <w:tc>
          <w:tcPr>
            <w:tcW w:w="2097" w:type="dxa"/>
            <w:tcBorders>
              <w:top w:val="nil"/>
              <w:bottom w:val="single" w:sz="4" w:space="0" w:color="auto"/>
            </w:tcBorders>
          </w:tcPr>
          <w:p w:rsidR="00D02866" w:rsidRDefault="00D02866">
            <w:pPr>
              <w:pStyle w:val="ConsPlusNormal"/>
            </w:pPr>
            <w:r>
              <w:t>180 - 360 мг/сутки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bookmarkStart w:id="395" w:name="P1627"/>
      <w:bookmarkEnd w:id="395"/>
      <w:r>
        <w:t>Таблица 4/А3. Рекомендуемые режимы антикоагулянтной терапии при ГКМП у беременных с ФП и опасности, связанные с терапией варфарином**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14"/>
        <w:gridCol w:w="7256"/>
      </w:tblGrid>
      <w:tr w:rsidR="00D02866">
        <w:tc>
          <w:tcPr>
            <w:tcW w:w="9070" w:type="dxa"/>
            <w:gridSpan w:val="2"/>
          </w:tcPr>
          <w:p w:rsidR="00D02866" w:rsidRDefault="00D02866">
            <w:pPr>
              <w:pStyle w:val="ConsPlusNormal"/>
              <w:jc w:val="center"/>
              <w:outlineLvl w:val="2"/>
            </w:pPr>
            <w:r>
              <w:t>Режимы антикоагулянтной терапии</w:t>
            </w:r>
          </w:p>
        </w:tc>
      </w:tr>
      <w:tr w:rsidR="00D02866">
        <w:tc>
          <w:tcPr>
            <w:tcW w:w="1814" w:type="dxa"/>
          </w:tcPr>
          <w:p w:rsidR="00D02866" w:rsidRDefault="00D02866">
            <w:pPr>
              <w:pStyle w:val="ConsPlusNormal"/>
              <w:jc w:val="both"/>
            </w:pPr>
            <w:r>
              <w:t>Режим 1</w:t>
            </w:r>
          </w:p>
        </w:tc>
        <w:tc>
          <w:tcPr>
            <w:tcW w:w="7256" w:type="dxa"/>
          </w:tcPr>
          <w:p w:rsidR="00D02866" w:rsidRDefault="00D02866">
            <w:pPr>
              <w:pStyle w:val="ConsPlusNormal"/>
              <w:jc w:val="both"/>
            </w:pPr>
            <w:r>
              <w:t>Постоянная терапия варфарином** за исключением срока 6 - 12 недель (отмена должна начинаться с начала 5 недели с учетом периода полувыведения) с переходом на этот срок на гепарин натрия ** (низкомолекулярный) (минимальный риск тромбоза и возможный риск эмбриопатии)</w:t>
            </w:r>
          </w:p>
        </w:tc>
      </w:tr>
      <w:tr w:rsidR="00D02866">
        <w:tc>
          <w:tcPr>
            <w:tcW w:w="1814" w:type="dxa"/>
          </w:tcPr>
          <w:p w:rsidR="00D02866" w:rsidRDefault="00D02866">
            <w:pPr>
              <w:pStyle w:val="ConsPlusNormal"/>
              <w:jc w:val="both"/>
            </w:pPr>
            <w:r>
              <w:t>Режим 2</w:t>
            </w:r>
          </w:p>
        </w:tc>
        <w:tc>
          <w:tcPr>
            <w:tcW w:w="7256" w:type="dxa"/>
          </w:tcPr>
          <w:p w:rsidR="00D02866" w:rsidRDefault="00D02866">
            <w:pPr>
              <w:pStyle w:val="ConsPlusNormal"/>
              <w:jc w:val="both"/>
            </w:pPr>
            <w:r>
              <w:t>Переход на парентеральные прямые антикоагулянты (гепарин натрия**) на весь срок беременности (минимальный риск эмбриопатии, но повышенный по сравнению с терапией варфарином** риск тромбозов)</w:t>
            </w:r>
          </w:p>
        </w:tc>
      </w:tr>
      <w:tr w:rsidR="00D02866">
        <w:tc>
          <w:tcPr>
            <w:tcW w:w="9070" w:type="dxa"/>
            <w:gridSpan w:val="2"/>
          </w:tcPr>
          <w:p w:rsidR="00D02866" w:rsidRDefault="00D02866">
            <w:pPr>
              <w:pStyle w:val="ConsPlusNormal"/>
              <w:jc w:val="center"/>
              <w:outlineLvl w:val="2"/>
            </w:pPr>
            <w:r>
              <w:t>Опасности, связанные с применением варфарина</w:t>
            </w:r>
          </w:p>
        </w:tc>
      </w:tr>
      <w:tr w:rsidR="00D02866">
        <w:tc>
          <w:tcPr>
            <w:tcW w:w="9070" w:type="dxa"/>
            <w:gridSpan w:val="2"/>
          </w:tcPr>
          <w:p w:rsidR="00D02866" w:rsidRDefault="00D02866">
            <w:pPr>
              <w:pStyle w:val="ConsPlusNormal"/>
              <w:jc w:val="both"/>
            </w:pPr>
            <w:r>
              <w:t>Период полувыведения варфарина** превышает 60 часов, что необходимо учитывать при определении сроков отмены препарата.</w:t>
            </w:r>
          </w:p>
        </w:tc>
      </w:tr>
      <w:tr w:rsidR="00D02866">
        <w:tc>
          <w:tcPr>
            <w:tcW w:w="9070" w:type="dxa"/>
            <w:gridSpan w:val="2"/>
          </w:tcPr>
          <w:p w:rsidR="00D02866" w:rsidRDefault="00D02866">
            <w:pPr>
              <w:pStyle w:val="ConsPlusNormal"/>
              <w:jc w:val="both"/>
            </w:pPr>
            <w:r>
              <w:t>Некоторые авторы отмечают дозозависимый эмбриотоксический эффект варфарина** - доза менее 5 мг редко приводит к возникновению эмбриопатии. Однако на практике доза варфарина определяется величиной МНО и не может быть произвольно уменьшена или увеличена.</w:t>
            </w:r>
          </w:p>
        </w:tc>
      </w:tr>
      <w:tr w:rsidR="00D02866">
        <w:tc>
          <w:tcPr>
            <w:tcW w:w="9070" w:type="dxa"/>
            <w:gridSpan w:val="2"/>
          </w:tcPr>
          <w:p w:rsidR="00D02866" w:rsidRDefault="00D02866">
            <w:pPr>
              <w:pStyle w:val="ConsPlusNormal"/>
              <w:jc w:val="both"/>
            </w:pPr>
            <w:r>
              <w:t>Наиболее критическим периодом действия варфарина** является срок 6 - 12 недель - максимальная вероятность эмбриотоксического эффекта.</w:t>
            </w:r>
          </w:p>
        </w:tc>
      </w:tr>
      <w:tr w:rsidR="00D02866">
        <w:tc>
          <w:tcPr>
            <w:tcW w:w="9070" w:type="dxa"/>
            <w:gridSpan w:val="2"/>
          </w:tcPr>
          <w:p w:rsidR="00D02866" w:rsidRDefault="00D02866">
            <w:pPr>
              <w:pStyle w:val="ConsPlusNormal"/>
              <w:jc w:val="both"/>
            </w:pPr>
            <w:r>
              <w:t>Вызывая гипокоагуляцию у плода, варфарин** может приводить к нарушениям формирования ЦНС, вызывая внутричерепные кровоизлияния</w:t>
            </w:r>
          </w:p>
        </w:tc>
      </w:tr>
      <w:tr w:rsidR="00D02866">
        <w:tc>
          <w:tcPr>
            <w:tcW w:w="9070" w:type="dxa"/>
            <w:gridSpan w:val="2"/>
          </w:tcPr>
          <w:p w:rsidR="00D02866" w:rsidRDefault="00D02866">
            <w:pPr>
              <w:pStyle w:val="ConsPlusNormal"/>
              <w:jc w:val="both"/>
            </w:pPr>
            <w:r>
              <w:t>Угнетая синтез витамин-K зависимых факторов, варфарин** существенно влияет на процесс формирования и роста костей плода.</w:t>
            </w:r>
          </w:p>
        </w:tc>
      </w:tr>
      <w:tr w:rsidR="00D02866">
        <w:tc>
          <w:tcPr>
            <w:tcW w:w="9070" w:type="dxa"/>
            <w:gridSpan w:val="2"/>
          </w:tcPr>
          <w:p w:rsidR="00D02866" w:rsidRDefault="00D02866">
            <w:pPr>
              <w:pStyle w:val="ConsPlusNormal"/>
              <w:jc w:val="both"/>
            </w:pPr>
            <w:r>
              <w:t>Результатом эмбриотоксичности варфарина** являются гипоплазия носовых костей, атрофия зрительного нерва, задержка умственного развития, а также замершие беременности, спонтанные аборты и мертворождения.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bookmarkStart w:id="396" w:name="P1642"/>
      <w:bookmarkEnd w:id="396"/>
      <w:r>
        <w:t xml:space="preserve">Таблица 5/А3. Клинические исследования и используемые препараты на догипертрофической стадии ГКМП (адаптировано из: Philipson DJ et al. </w:t>
      </w:r>
      <w:hyperlink w:anchor="P1073">
        <w:r>
          <w:rPr>
            <w:color w:val="0000FF"/>
          </w:rPr>
          <w:t>[39]</w:t>
        </w:r>
      </w:hyperlink>
      <w:r>
        <w:t>)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4478"/>
        <w:gridCol w:w="2948"/>
      </w:tblGrid>
      <w:tr w:rsidR="00D02866">
        <w:tc>
          <w:tcPr>
            <w:tcW w:w="1644" w:type="dxa"/>
          </w:tcPr>
          <w:p w:rsidR="00D02866" w:rsidRDefault="00D02866">
            <w:pPr>
              <w:pStyle w:val="ConsPlusNormal"/>
              <w:jc w:val="center"/>
            </w:pPr>
            <w:r>
              <w:t>Препарат</w:t>
            </w:r>
          </w:p>
        </w:tc>
        <w:tc>
          <w:tcPr>
            <w:tcW w:w="4478" w:type="dxa"/>
          </w:tcPr>
          <w:p w:rsidR="00D02866" w:rsidRDefault="00D02866">
            <w:pPr>
              <w:pStyle w:val="ConsPlusNormal"/>
              <w:jc w:val="center"/>
            </w:pPr>
            <w:r>
              <w:t>Потенциальный эффект</w:t>
            </w:r>
          </w:p>
        </w:tc>
        <w:tc>
          <w:tcPr>
            <w:tcW w:w="2948" w:type="dxa"/>
          </w:tcPr>
          <w:p w:rsidR="00D02866" w:rsidRDefault="00D02866">
            <w:pPr>
              <w:pStyle w:val="ConsPlusNormal"/>
              <w:jc w:val="center"/>
            </w:pPr>
            <w:r>
              <w:t>Клинические исследования</w:t>
            </w:r>
          </w:p>
        </w:tc>
      </w:tr>
      <w:tr w:rsidR="00D02866">
        <w:tc>
          <w:tcPr>
            <w:tcW w:w="1644" w:type="dxa"/>
          </w:tcPr>
          <w:p w:rsidR="00D02866" w:rsidRDefault="00D02866">
            <w:pPr>
              <w:pStyle w:val="ConsPlusNormal"/>
              <w:jc w:val="both"/>
            </w:pPr>
            <w:r>
              <w:t>Дилтиазем</w:t>
            </w:r>
          </w:p>
        </w:tc>
        <w:tc>
          <w:tcPr>
            <w:tcW w:w="4478" w:type="dxa"/>
          </w:tcPr>
          <w:p w:rsidR="00D02866" w:rsidRDefault="00D02866">
            <w:pPr>
              <w:pStyle w:val="ConsPlusNormal"/>
              <w:jc w:val="both"/>
            </w:pPr>
            <w:r>
              <w:t>Уменьшение гипертрофии кардиомиоцитов у носителей MYBPC3 мутаций</w:t>
            </w:r>
          </w:p>
        </w:tc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>Доклинические исследования</w:t>
            </w:r>
          </w:p>
        </w:tc>
      </w:tr>
      <w:tr w:rsidR="00D02866">
        <w:tc>
          <w:tcPr>
            <w:tcW w:w="1644" w:type="dxa"/>
          </w:tcPr>
          <w:p w:rsidR="00D02866" w:rsidRDefault="00D02866">
            <w:pPr>
              <w:pStyle w:val="ConsPlusNormal"/>
              <w:jc w:val="both"/>
            </w:pPr>
            <w:r>
              <w:t>MYK-461</w:t>
            </w:r>
          </w:p>
        </w:tc>
        <w:tc>
          <w:tcPr>
            <w:tcW w:w="4478" w:type="dxa"/>
          </w:tcPr>
          <w:p w:rsidR="00D02866" w:rsidRDefault="00D02866">
            <w:pPr>
              <w:pStyle w:val="ConsPlusNormal"/>
              <w:jc w:val="both"/>
            </w:pPr>
            <w:r>
              <w:t>Предотвращение развития гипертрофии и фиброза</w:t>
            </w:r>
          </w:p>
        </w:tc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 xml:space="preserve">Фаза II рандомизированного контролируемого </w:t>
            </w:r>
            <w:r>
              <w:lastRenderedPageBreak/>
              <w:t>исследования PIONEER-HCM</w:t>
            </w:r>
          </w:p>
        </w:tc>
      </w:tr>
      <w:tr w:rsidR="00D02866">
        <w:tc>
          <w:tcPr>
            <w:tcW w:w="1644" w:type="dxa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Ацетилцистеин**</w:t>
            </w:r>
          </w:p>
        </w:tc>
        <w:tc>
          <w:tcPr>
            <w:tcW w:w="4478" w:type="dxa"/>
          </w:tcPr>
          <w:p w:rsidR="00D02866" w:rsidRDefault="00D02866">
            <w:pPr>
              <w:pStyle w:val="ConsPlusNormal"/>
              <w:jc w:val="both"/>
            </w:pPr>
            <w:r>
              <w:t>Изменение чувствительности к кальцию, регресс гипертрофии, фиброза, улучшение диастолической дисфункции.</w:t>
            </w:r>
          </w:p>
        </w:tc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>Фаза I рандомизированного контролируемого исследования HALT</w:t>
            </w:r>
          </w:p>
        </w:tc>
      </w:tr>
      <w:tr w:rsidR="00D02866">
        <w:tc>
          <w:tcPr>
            <w:tcW w:w="1644" w:type="dxa"/>
          </w:tcPr>
          <w:p w:rsidR="00D02866" w:rsidRDefault="00D02866">
            <w:pPr>
              <w:pStyle w:val="ConsPlusNormal"/>
              <w:jc w:val="both"/>
            </w:pPr>
            <w:r>
              <w:t>Антагонисты ангиотензина II</w:t>
            </w:r>
          </w:p>
        </w:tc>
        <w:tc>
          <w:tcPr>
            <w:tcW w:w="4478" w:type="dxa"/>
          </w:tcPr>
          <w:p w:rsidR="00D02866" w:rsidRDefault="00D02866">
            <w:pPr>
              <w:pStyle w:val="ConsPlusNormal"/>
              <w:jc w:val="both"/>
            </w:pPr>
            <w:r>
              <w:t>Снижают продукцию трофических факторов ренин-ангиотензин-альдостеронового пути</w:t>
            </w:r>
          </w:p>
        </w:tc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>РКИ "INHERIT"</w:t>
            </w:r>
          </w:p>
          <w:p w:rsidR="00D02866" w:rsidRDefault="00D02866">
            <w:pPr>
              <w:pStyle w:val="ConsPlusNormal"/>
              <w:jc w:val="both"/>
            </w:pPr>
            <w:r>
              <w:t>Фаза II РКИ "VANISH"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0"/>
      </w:pPr>
      <w:r>
        <w:t>Приложение Б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r>
        <w:t>АЛГОРИТМЫ ВЕДЕНИЯ ПАЦИЕНТА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Б1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397" w:name="P1675"/>
      <w:bookmarkEnd w:id="397"/>
      <w:r>
        <w:t>АЛГОРИТМ ТАКТИКИ ВЕДЕНИЯ АСИМПТОМНЫХ ПАЦИЕНТОВ С ГКМП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71"/>
        </w:rPr>
        <w:drawing>
          <wp:inline distT="0" distB="0" distL="0" distR="0">
            <wp:extent cx="4746625" cy="3586480"/>
            <wp:effectExtent l="0" t="0" r="0" b="0"/>
            <wp:docPr id="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625" cy="358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Б2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398" w:name="P1685"/>
      <w:bookmarkEnd w:id="398"/>
      <w:r>
        <w:lastRenderedPageBreak/>
        <w:t>УПРОЩЕННЫЙ АЛГОРИТМ</w:t>
      </w:r>
    </w:p>
    <w:p w:rsidR="00D02866" w:rsidRDefault="00D02866">
      <w:pPr>
        <w:pStyle w:val="ConsPlusTitle"/>
        <w:jc w:val="center"/>
      </w:pPr>
      <w:r>
        <w:t>ДИАГНОСТИКИ И ПОДХОДОВ К ЛЕЧЕНИЮ ПАЦИЕНТОВ С ОБСТРУКЦИЕЙ</w:t>
      </w:r>
    </w:p>
    <w:p w:rsidR="00D02866" w:rsidRDefault="00D02866">
      <w:pPr>
        <w:pStyle w:val="ConsPlusTitle"/>
        <w:jc w:val="center"/>
      </w:pPr>
      <w:r>
        <w:t>НА УРОВНЕ ВТЛЖ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70"/>
        </w:rPr>
        <w:drawing>
          <wp:inline distT="0" distB="0" distL="0" distR="0">
            <wp:extent cx="4739640" cy="3573780"/>
            <wp:effectExtent l="0" t="0" r="0" b="0"/>
            <wp:docPr id="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Б3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399" w:name="P1697"/>
      <w:bookmarkEnd w:id="399"/>
      <w:r>
        <w:t>АЛГОРИТМ ФАРМАКОТЕРАПИИ ОБСТРУКТИВНОЙ ГКМП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63"/>
        </w:rPr>
        <w:lastRenderedPageBreak/>
        <w:drawing>
          <wp:inline distT="0" distB="0" distL="0" distR="0">
            <wp:extent cx="4758055" cy="3486150"/>
            <wp:effectExtent l="0" t="0" r="0" b="0"/>
            <wp:docPr id="4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805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Б4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400" w:name="P1707"/>
      <w:bookmarkEnd w:id="400"/>
      <w:r>
        <w:t>АЛГОРИТМ ВРАЧЕБНОЙ ТАКТИКИ ЛЕЧЕНИЯ ХСН ПРИ ГКМП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70"/>
        </w:rPr>
        <w:drawing>
          <wp:inline distT="0" distB="0" distL="0" distR="0">
            <wp:extent cx="4733290" cy="3580130"/>
            <wp:effectExtent l="0" t="0" r="0" b="0"/>
            <wp:docPr id="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290" cy="358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Б5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401" w:name="P1717"/>
      <w:bookmarkEnd w:id="401"/>
      <w:r>
        <w:t>АЛГОРИТМ</w:t>
      </w:r>
    </w:p>
    <w:p w:rsidR="00D02866" w:rsidRDefault="00D02866">
      <w:pPr>
        <w:pStyle w:val="ConsPlusTitle"/>
        <w:jc w:val="center"/>
      </w:pPr>
      <w:r>
        <w:t>ПРЕДОПЕРАЦИОННОЙ ДИАГНОСТИКИ ДЛЯ ВЫБОРАДОПОЛНИТЕЛЬНЫХ</w:t>
      </w:r>
    </w:p>
    <w:p w:rsidR="00D02866" w:rsidRDefault="00D02866">
      <w:pPr>
        <w:pStyle w:val="ConsPlusTitle"/>
        <w:jc w:val="center"/>
      </w:pPr>
      <w:r>
        <w:t xml:space="preserve">ВМЕШАТЕЛЬСТВ НА МК ПРИ СМЭ/РМЭ (АДАПТИРОВАНО ИЗ </w:t>
      </w:r>
      <w:hyperlink w:anchor="P1432">
        <w:r>
          <w:rPr>
            <w:color w:val="0000FF"/>
          </w:rPr>
          <w:t>[398]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67"/>
        </w:rPr>
        <w:drawing>
          <wp:inline distT="0" distB="0" distL="0" distR="0">
            <wp:extent cx="4726940" cy="3536315"/>
            <wp:effectExtent l="0" t="0" r="0" b="0"/>
            <wp:docPr id="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940" cy="353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Б6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402" w:name="P1729"/>
      <w:bookmarkEnd w:id="402"/>
      <w:r>
        <w:t>АЛГОРИТМ ВЫБОРА МЕТОДА РЕДУКЦИИ МЖП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73"/>
        </w:rPr>
        <w:lastRenderedPageBreak/>
        <w:drawing>
          <wp:inline distT="0" distB="0" distL="0" distR="0">
            <wp:extent cx="4751705" cy="3611880"/>
            <wp:effectExtent l="0" t="0" r="0" b="0"/>
            <wp:docPr id="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705" cy="361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Б7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403" w:name="P1739"/>
      <w:bookmarkEnd w:id="403"/>
      <w:r>
        <w:t>АЛГОРИТМ</w:t>
      </w:r>
    </w:p>
    <w:p w:rsidR="00D02866" w:rsidRDefault="00D02866">
      <w:pPr>
        <w:pStyle w:val="ConsPlusTitle"/>
        <w:jc w:val="center"/>
      </w:pPr>
      <w:r>
        <w:t>ПЕРВИЧНОЙ И ВТОРИЧНОЙ ПРОФИЛАКТИКИ ВСС У ПАЦИЕНТОВ С ГКМП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68"/>
        </w:rPr>
        <w:drawing>
          <wp:inline distT="0" distB="0" distL="0" distR="0">
            <wp:extent cx="4726940" cy="3548380"/>
            <wp:effectExtent l="0" t="0" r="0" b="0"/>
            <wp:docPr id="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940" cy="354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Б8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404" w:name="P1750"/>
      <w:bookmarkEnd w:id="404"/>
      <w:r>
        <w:t>АЛГОРИТМ</w:t>
      </w:r>
    </w:p>
    <w:p w:rsidR="00D02866" w:rsidRDefault="00D02866">
      <w:pPr>
        <w:pStyle w:val="ConsPlusTitle"/>
        <w:jc w:val="center"/>
      </w:pPr>
      <w:r>
        <w:t>ДИАГНОСТИКИ И ВРАЧЕБНОЙ ТАКТИКИ ПРИ СИНКОПАЛЬНЫХ СОСТОЯНИЯХ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67"/>
        </w:rPr>
        <w:drawing>
          <wp:inline distT="0" distB="0" distL="0" distR="0">
            <wp:extent cx="4765675" cy="3536315"/>
            <wp:effectExtent l="0" t="0" r="0" b="0"/>
            <wp:docPr id="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675" cy="353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Б9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405" w:name="P1761"/>
      <w:bookmarkEnd w:id="405"/>
      <w:r>
        <w:t>АЛГОРИТМ</w:t>
      </w:r>
    </w:p>
    <w:p w:rsidR="00D02866" w:rsidRDefault="00D02866">
      <w:pPr>
        <w:pStyle w:val="ConsPlusTitle"/>
        <w:jc w:val="center"/>
      </w:pPr>
      <w:r>
        <w:t>ВРАЧЕБНОЙ ТАКТИКИ В ЗАВИСИМОСТИ ОТ СТАДИИ ГКМП И ВАРИАНТА</w:t>
      </w:r>
    </w:p>
    <w:p w:rsidR="00D02866" w:rsidRDefault="00D02866">
      <w:pPr>
        <w:pStyle w:val="ConsPlusTitle"/>
        <w:jc w:val="center"/>
      </w:pPr>
      <w:r>
        <w:t>КЛИНИЧЕСКОГО ТЕЧЕНИЯ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70"/>
        </w:rPr>
        <w:lastRenderedPageBreak/>
        <w:drawing>
          <wp:inline distT="0" distB="0" distL="0" distR="0">
            <wp:extent cx="4739640" cy="3573780"/>
            <wp:effectExtent l="0" t="0" r="0" b="0"/>
            <wp:docPr id="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Б10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406" w:name="P1773"/>
      <w:bookmarkEnd w:id="406"/>
      <w:r>
        <w:t>ПОКАЗАНИЯ К РЕДУКЦИИ МЖП (СМЭ/РМЭ/САА)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11"/>
        <w:gridCol w:w="6859"/>
      </w:tblGrid>
      <w:tr w:rsidR="00D02866">
        <w:tc>
          <w:tcPr>
            <w:tcW w:w="2211" w:type="dxa"/>
          </w:tcPr>
          <w:p w:rsidR="00D02866" w:rsidRDefault="00D02866">
            <w:pPr>
              <w:pStyle w:val="ConsPlusNormal"/>
              <w:jc w:val="center"/>
            </w:pPr>
            <w:r>
              <w:t>Критерии</w:t>
            </w:r>
          </w:p>
        </w:tc>
        <w:tc>
          <w:tcPr>
            <w:tcW w:w="6859" w:type="dxa"/>
          </w:tcPr>
          <w:p w:rsidR="00D02866" w:rsidRDefault="00D02866">
            <w:pPr>
              <w:pStyle w:val="ConsPlusNormal"/>
              <w:jc w:val="center"/>
            </w:pPr>
            <w:r>
              <w:t>Показания</w:t>
            </w:r>
          </w:p>
        </w:tc>
      </w:tr>
      <w:tr w:rsidR="00D02866">
        <w:tc>
          <w:tcPr>
            <w:tcW w:w="2211" w:type="dxa"/>
          </w:tcPr>
          <w:p w:rsidR="00D02866" w:rsidRDefault="00D02866">
            <w:pPr>
              <w:pStyle w:val="ConsPlusNormal"/>
              <w:jc w:val="both"/>
            </w:pPr>
            <w:r>
              <w:t>Клинические</w:t>
            </w:r>
          </w:p>
        </w:tc>
        <w:tc>
          <w:tcPr>
            <w:tcW w:w="6859" w:type="dxa"/>
          </w:tcPr>
          <w:p w:rsidR="00D02866" w:rsidRDefault="00D02866">
            <w:pPr>
              <w:pStyle w:val="ConsPlusNormal"/>
              <w:jc w:val="both"/>
            </w:pPr>
            <w:r>
              <w:t xml:space="preserve">ХСН III - IV функционального класса NYHA с ФВЛЖ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50% и/или наличие других тяжелых симптомов (обмороки, предобморочные состояния, синдром стенокардии), существенно ограничивающих повседневную активность, несмотря на оптимальную медикаментозную терапию.</w:t>
            </w:r>
          </w:p>
        </w:tc>
      </w:tr>
      <w:tr w:rsidR="00D02866">
        <w:tc>
          <w:tcPr>
            <w:tcW w:w="2211" w:type="dxa"/>
          </w:tcPr>
          <w:p w:rsidR="00D02866" w:rsidRDefault="00D02866">
            <w:pPr>
              <w:pStyle w:val="ConsPlusNormal"/>
              <w:jc w:val="both"/>
            </w:pPr>
            <w:r>
              <w:t>Гемодинамические</w:t>
            </w:r>
          </w:p>
        </w:tc>
        <w:tc>
          <w:tcPr>
            <w:tcW w:w="6859" w:type="dxa"/>
          </w:tcPr>
          <w:p w:rsidR="00D02866" w:rsidRDefault="00D02866">
            <w:pPr>
              <w:pStyle w:val="ConsPlusNormal"/>
              <w:jc w:val="both"/>
            </w:pPr>
            <w:r>
              <w:t xml:space="preserve">Обструктивная форма ГКМП (в покое или индуцируемая) с ГД в ВТЛЖ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50 мм рт. ст., которая ассоциирована с гипертрофией МЖП и переднесистолическим движением створки митрального клапана, другими аномалиями аппарата МК (хорды, ПМ) и, рефрактерная к проводимой терапии в полном объеме.</w:t>
            </w:r>
          </w:p>
        </w:tc>
      </w:tr>
      <w:tr w:rsidR="00D02866">
        <w:tc>
          <w:tcPr>
            <w:tcW w:w="2211" w:type="dxa"/>
          </w:tcPr>
          <w:p w:rsidR="00D02866" w:rsidRDefault="00D02866">
            <w:pPr>
              <w:pStyle w:val="ConsPlusNormal"/>
              <w:jc w:val="both"/>
            </w:pPr>
            <w:r>
              <w:t>Анатомические</w:t>
            </w:r>
          </w:p>
        </w:tc>
        <w:tc>
          <w:tcPr>
            <w:tcW w:w="6859" w:type="dxa"/>
          </w:tcPr>
          <w:p w:rsidR="00D02866" w:rsidRDefault="00D02866">
            <w:pPr>
              <w:pStyle w:val="ConsPlusNormal"/>
              <w:jc w:val="both"/>
            </w:pPr>
            <w:r>
              <w:t>Толщина МЖП, достаточная для безопасного и эффективного выполнения операции или процедуры (по мнению оператора), состояние аппарата МК и подклапанных структур, сочетанные аномалии коронарных артерий.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lastRenderedPageBreak/>
        <w:t>Приложение Б11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407" w:name="P1790"/>
      <w:bookmarkEnd w:id="407"/>
      <w:r>
        <w:t>СРАВНЕНИЕ СМЭ/РМЭ И САА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ind w:firstLine="540"/>
        <w:jc w:val="both"/>
      </w:pPr>
      <w:r>
        <w:t xml:space="preserve">(адаптировано из: Batzner A., </w:t>
      </w:r>
      <w:r>
        <w:rPr>
          <w:noProof/>
          <w:position w:val="-4"/>
        </w:rPr>
        <w:drawing>
          <wp:inline distT="0" distB="0" distL="0" distR="0">
            <wp:extent cx="618490" cy="199390"/>
            <wp:effectExtent l="0" t="0" r="0" b="0"/>
            <wp:docPr id="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H.J., Borisov K.V., </w:t>
      </w:r>
      <w:r>
        <w:rPr>
          <w:noProof/>
          <w:position w:val="-6"/>
        </w:rPr>
        <w:drawing>
          <wp:inline distT="0" distB="0" distL="0" distR="0">
            <wp:extent cx="712470" cy="220345"/>
            <wp:effectExtent l="0" t="0" r="0" b="0"/>
            <wp:docPr id="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H. Hypertrophic Obstructive Cardiomyopathy. Dtsch Arztebl Int. 2019 </w:t>
      </w:r>
      <w:hyperlink w:anchor="P1427">
        <w:r>
          <w:rPr>
            <w:color w:val="0000FF"/>
          </w:rPr>
          <w:t>[393]</w:t>
        </w:r>
      </w:hyperlink>
      <w:r>
        <w:t>)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3628"/>
        <w:gridCol w:w="2494"/>
      </w:tblGrid>
      <w:tr w:rsidR="00D02866">
        <w:tc>
          <w:tcPr>
            <w:tcW w:w="2948" w:type="dxa"/>
          </w:tcPr>
          <w:p w:rsidR="00D02866" w:rsidRDefault="00D02866">
            <w:pPr>
              <w:pStyle w:val="ConsPlusNormal"/>
              <w:jc w:val="center"/>
            </w:pPr>
            <w:r>
              <w:t>Критерии</w:t>
            </w:r>
          </w:p>
        </w:tc>
        <w:tc>
          <w:tcPr>
            <w:tcW w:w="3628" w:type="dxa"/>
          </w:tcPr>
          <w:p w:rsidR="00D02866" w:rsidRDefault="00D02866">
            <w:pPr>
              <w:pStyle w:val="ConsPlusNormal"/>
              <w:jc w:val="center"/>
            </w:pPr>
            <w:r>
              <w:t>СМЭ/РМЭ</w:t>
            </w:r>
          </w:p>
        </w:tc>
        <w:tc>
          <w:tcPr>
            <w:tcW w:w="2494" w:type="dxa"/>
          </w:tcPr>
          <w:p w:rsidR="00D02866" w:rsidRDefault="00D02866">
            <w:pPr>
              <w:pStyle w:val="ConsPlusNormal"/>
              <w:jc w:val="center"/>
            </w:pPr>
            <w:r>
              <w:t>САА</w:t>
            </w:r>
          </w:p>
        </w:tc>
      </w:tr>
      <w:tr w:rsidR="00D02866"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>Локализация гипертрофированного отдела МЖП</w:t>
            </w:r>
          </w:p>
        </w:tc>
        <w:tc>
          <w:tcPr>
            <w:tcW w:w="3628" w:type="dxa"/>
          </w:tcPr>
          <w:p w:rsidR="00D02866" w:rsidRDefault="00D02866">
            <w:pPr>
              <w:pStyle w:val="ConsPlusNormal"/>
              <w:jc w:val="both"/>
            </w:pPr>
            <w:r>
              <w:t>Субаортальная, среднежелудочковая, апикальная</w:t>
            </w:r>
          </w:p>
        </w:tc>
        <w:tc>
          <w:tcPr>
            <w:tcW w:w="2494" w:type="dxa"/>
          </w:tcPr>
          <w:p w:rsidR="00D02866" w:rsidRDefault="00D02866">
            <w:pPr>
              <w:pStyle w:val="ConsPlusNormal"/>
              <w:jc w:val="both"/>
            </w:pPr>
            <w:r>
              <w:t>Субаортальная Среднежелудочковая (в отдельных Центрах)</w:t>
            </w:r>
          </w:p>
        </w:tc>
      </w:tr>
      <w:tr w:rsidR="00D02866"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>Степень гипертрофии</w:t>
            </w:r>
          </w:p>
        </w:tc>
        <w:tc>
          <w:tcPr>
            <w:tcW w:w="3628" w:type="dxa"/>
          </w:tcPr>
          <w:p w:rsidR="00D02866" w:rsidRDefault="00D02866">
            <w:pPr>
              <w:pStyle w:val="ConsPlusNormal"/>
              <w:jc w:val="both"/>
            </w:pPr>
            <w:r>
              <w:t>От &gt; 20 мм до экстремальной гипертрофия МЖП &gt; 30 мм</w:t>
            </w:r>
          </w:p>
        </w:tc>
        <w:tc>
          <w:tcPr>
            <w:tcW w:w="2494" w:type="dxa"/>
          </w:tcPr>
          <w:p w:rsidR="00D02866" w:rsidRDefault="00D02866">
            <w:pPr>
              <w:pStyle w:val="ConsPlusNormal"/>
              <w:jc w:val="both"/>
            </w:pPr>
            <w:r>
              <w:t>Гипертрофия МЖП &lt; 30 мм</w:t>
            </w:r>
          </w:p>
        </w:tc>
      </w:tr>
      <w:tr w:rsidR="00D02866"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>Механизм повышения ГД и недостаточность МК</w:t>
            </w:r>
          </w:p>
        </w:tc>
        <w:tc>
          <w:tcPr>
            <w:tcW w:w="3628" w:type="dxa"/>
          </w:tcPr>
          <w:p w:rsidR="00D02866" w:rsidRDefault="00D02866">
            <w:pPr>
              <w:pStyle w:val="ConsPlusNormal"/>
              <w:jc w:val="both"/>
            </w:pPr>
            <w:r>
              <w:t>Не ассоциированное с ПСД МК</w:t>
            </w:r>
          </w:p>
          <w:p w:rsidR="00D02866" w:rsidRDefault="00D02866">
            <w:pPr>
              <w:pStyle w:val="ConsPlusNormal"/>
              <w:jc w:val="both"/>
            </w:pPr>
            <w:r>
              <w:t>и ассоциированное с ПСД МК</w:t>
            </w:r>
          </w:p>
        </w:tc>
        <w:tc>
          <w:tcPr>
            <w:tcW w:w="2494" w:type="dxa"/>
          </w:tcPr>
          <w:p w:rsidR="00D02866" w:rsidRDefault="00D02866">
            <w:pPr>
              <w:pStyle w:val="ConsPlusNormal"/>
              <w:jc w:val="both"/>
            </w:pPr>
            <w:r>
              <w:t>Ассоциированное с ПСД МК</w:t>
            </w:r>
          </w:p>
        </w:tc>
      </w:tr>
      <w:tr w:rsidR="00D02866"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>Коморбидная патология, требующая хирургического вмешательства</w:t>
            </w:r>
          </w:p>
        </w:tc>
        <w:tc>
          <w:tcPr>
            <w:tcW w:w="3628" w:type="dxa"/>
          </w:tcPr>
          <w:p w:rsidR="00D02866" w:rsidRDefault="00D02866">
            <w:pPr>
              <w:pStyle w:val="ConsPlusNormal"/>
              <w:jc w:val="both"/>
            </w:pPr>
            <w:r>
              <w:t>Подклапанная мембрана, аортальный стеноз, ИБС, многососудистое поражение</w:t>
            </w:r>
          </w:p>
        </w:tc>
        <w:tc>
          <w:tcPr>
            <w:tcW w:w="2494" w:type="dxa"/>
          </w:tcPr>
          <w:p w:rsidR="00D02866" w:rsidRDefault="00D02866">
            <w:pPr>
              <w:pStyle w:val="ConsPlusNormal"/>
              <w:jc w:val="both"/>
            </w:pPr>
            <w:r>
              <w:t>ИБС, однососудистое поражение</w:t>
            </w:r>
          </w:p>
        </w:tc>
      </w:tr>
      <w:tr w:rsidR="00D02866"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>Возраст пациентов</w:t>
            </w:r>
          </w:p>
        </w:tc>
        <w:tc>
          <w:tcPr>
            <w:tcW w:w="3628" w:type="dxa"/>
          </w:tcPr>
          <w:p w:rsidR="00D02866" w:rsidRDefault="00D02866">
            <w:pPr>
              <w:pStyle w:val="ConsPlusNormal"/>
              <w:jc w:val="both"/>
            </w:pPr>
            <w:r>
              <w:t>Подростки и молодые взрослые</w:t>
            </w:r>
          </w:p>
        </w:tc>
        <w:tc>
          <w:tcPr>
            <w:tcW w:w="2494" w:type="dxa"/>
          </w:tcPr>
          <w:p w:rsidR="00D02866" w:rsidRDefault="00D02866">
            <w:pPr>
              <w:pStyle w:val="ConsPlusNormal"/>
              <w:jc w:val="both"/>
            </w:pPr>
            <w:r>
              <w:t>Взрослые</w:t>
            </w:r>
          </w:p>
        </w:tc>
      </w:tr>
      <w:tr w:rsidR="00D02866"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>Сложность процедуры</w:t>
            </w:r>
          </w:p>
        </w:tc>
        <w:tc>
          <w:tcPr>
            <w:tcW w:w="3628" w:type="dxa"/>
          </w:tcPr>
          <w:p w:rsidR="00D02866" w:rsidRDefault="00D02866">
            <w:pPr>
              <w:pStyle w:val="ConsPlusNormal"/>
              <w:jc w:val="both"/>
            </w:pPr>
            <w:r>
              <w:t>Наиболее часто встречающиеся осложнения СМЭ: дефект МЖП, АВ-блокада и остаточная обструкция ВТЛЖ</w:t>
            </w:r>
          </w:p>
        </w:tc>
        <w:tc>
          <w:tcPr>
            <w:tcW w:w="2494" w:type="dxa"/>
          </w:tcPr>
          <w:p w:rsidR="00D02866" w:rsidRDefault="00D02866">
            <w:pPr>
              <w:pStyle w:val="ConsPlusNormal"/>
              <w:jc w:val="both"/>
            </w:pPr>
            <w:r>
              <w:t>Менее агрессивная</w:t>
            </w:r>
          </w:p>
        </w:tc>
      </w:tr>
      <w:tr w:rsidR="00D02866"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>Постпроцедурный риск зависимости от кардиостимулятора</w:t>
            </w:r>
          </w:p>
        </w:tc>
        <w:tc>
          <w:tcPr>
            <w:tcW w:w="3628" w:type="dxa"/>
          </w:tcPr>
          <w:p w:rsidR="00D02866" w:rsidRDefault="00D02866">
            <w:pPr>
              <w:pStyle w:val="ConsPlusNormal"/>
              <w:jc w:val="both"/>
            </w:pPr>
            <w:r>
              <w:t>2 - 10%</w:t>
            </w:r>
          </w:p>
          <w:p w:rsidR="00D02866" w:rsidRDefault="00D02866">
            <w:pPr>
              <w:pStyle w:val="ConsPlusNormal"/>
              <w:jc w:val="both"/>
            </w:pPr>
            <w:r>
              <w:t>До 50% с исходной БПНПГ</w:t>
            </w:r>
          </w:p>
        </w:tc>
        <w:tc>
          <w:tcPr>
            <w:tcW w:w="2494" w:type="dxa"/>
          </w:tcPr>
          <w:p w:rsidR="00D02866" w:rsidRDefault="00D02866">
            <w:pPr>
              <w:pStyle w:val="ConsPlusNormal"/>
              <w:jc w:val="both"/>
            </w:pPr>
            <w:r>
              <w:t>10 - 20%</w:t>
            </w:r>
          </w:p>
          <w:p w:rsidR="00D02866" w:rsidRDefault="00D02866">
            <w:pPr>
              <w:pStyle w:val="ConsPlusNormal"/>
              <w:jc w:val="both"/>
            </w:pPr>
            <w:r>
              <w:t>До 50% с исходной БЛНПГ</w:t>
            </w:r>
          </w:p>
        </w:tc>
      </w:tr>
      <w:tr w:rsidR="00D02866"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>Клиническая практика</w:t>
            </w:r>
          </w:p>
        </w:tc>
        <w:tc>
          <w:tcPr>
            <w:tcW w:w="3628" w:type="dxa"/>
          </w:tcPr>
          <w:p w:rsidR="00D02866" w:rsidRDefault="00D02866">
            <w:pPr>
              <w:pStyle w:val="ConsPlusNormal"/>
              <w:jc w:val="both"/>
            </w:pPr>
            <w:r>
              <w:t>Более 50 лет</w:t>
            </w:r>
          </w:p>
        </w:tc>
        <w:tc>
          <w:tcPr>
            <w:tcW w:w="2494" w:type="dxa"/>
          </w:tcPr>
          <w:p w:rsidR="00D02866" w:rsidRDefault="00D02866">
            <w:pPr>
              <w:pStyle w:val="ConsPlusNormal"/>
              <w:jc w:val="both"/>
            </w:pPr>
            <w:r>
              <w:t>Более 20 лет</w:t>
            </w:r>
          </w:p>
        </w:tc>
      </w:tr>
      <w:tr w:rsidR="00D02866">
        <w:tc>
          <w:tcPr>
            <w:tcW w:w="2948" w:type="dxa"/>
          </w:tcPr>
          <w:p w:rsidR="00D02866" w:rsidRDefault="00D02866">
            <w:pPr>
              <w:pStyle w:val="ConsPlusNormal"/>
              <w:jc w:val="both"/>
            </w:pPr>
            <w:r>
              <w:t>Доступность</w:t>
            </w:r>
          </w:p>
        </w:tc>
        <w:tc>
          <w:tcPr>
            <w:tcW w:w="3628" w:type="dxa"/>
          </w:tcPr>
          <w:p w:rsidR="00D02866" w:rsidRDefault="00D02866">
            <w:pPr>
              <w:pStyle w:val="ConsPlusNormal"/>
              <w:jc w:val="both"/>
            </w:pPr>
            <w:r>
              <w:t>Недостаточная, небольшое количество центров с опытом</w:t>
            </w:r>
          </w:p>
        </w:tc>
        <w:tc>
          <w:tcPr>
            <w:tcW w:w="2494" w:type="dxa"/>
          </w:tcPr>
          <w:p w:rsidR="00D02866" w:rsidRDefault="00D02866">
            <w:pPr>
              <w:pStyle w:val="ConsPlusNormal"/>
              <w:jc w:val="both"/>
            </w:pPr>
            <w:r>
              <w:t>Достаточная, но небольшое количество центров с опытом</w:t>
            </w:r>
          </w:p>
        </w:tc>
      </w:tr>
      <w:tr w:rsidR="00D02866">
        <w:tc>
          <w:tcPr>
            <w:tcW w:w="9070" w:type="dxa"/>
            <w:gridSpan w:val="3"/>
          </w:tcPr>
          <w:p w:rsidR="00D02866" w:rsidRDefault="00D02866">
            <w:pPr>
              <w:pStyle w:val="ConsPlusNormal"/>
              <w:jc w:val="both"/>
            </w:pPr>
            <w:r>
              <w:t>Сопоставимые показатели выживаемости и клинико-гемодинамическое улучшение после САА и СМЭ/РМЭ были получены в нерандомизированных обсервационных исследованиях.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Б12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408" w:name="P1835"/>
      <w:bookmarkEnd w:id="408"/>
      <w:r>
        <w:t>ВРАЧЕБНАЯ ТАКТИКА</w:t>
      </w:r>
    </w:p>
    <w:p w:rsidR="00D02866" w:rsidRDefault="00D02866">
      <w:pPr>
        <w:pStyle w:val="ConsPlusTitle"/>
        <w:jc w:val="center"/>
      </w:pPr>
      <w:r>
        <w:t>ВЕДЕНИЯ БЕРЕМЕННОСТИ И РОДОРАЗРЕШЕНИЯ В ЗАВИСИМОСТИ</w:t>
      </w:r>
    </w:p>
    <w:p w:rsidR="00D02866" w:rsidRDefault="00D02866">
      <w:pPr>
        <w:pStyle w:val="ConsPlusTitle"/>
        <w:jc w:val="center"/>
      </w:pPr>
      <w:r>
        <w:t xml:space="preserve">ОТ СТЕПЕНИ ОБСТРУКЦИИ ВТЛЖ (ПО </w:t>
      </w:r>
      <w:hyperlink w:anchor="P1462">
        <w:r>
          <w:rPr>
            <w:color w:val="0000FF"/>
          </w:rPr>
          <w:t>[428]</w:t>
        </w:r>
      </w:hyperlink>
      <w:r>
        <w:t>)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45"/>
        <w:gridCol w:w="5725"/>
      </w:tblGrid>
      <w:tr w:rsidR="00D02866"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</w:tcPr>
          <w:p w:rsidR="00D02866" w:rsidRDefault="00D02866">
            <w:pPr>
              <w:pStyle w:val="ConsPlusNormal"/>
              <w:jc w:val="center"/>
            </w:pPr>
            <w:r>
              <w:t>Степень обструкции ВТЛЖ</w:t>
            </w:r>
          </w:p>
        </w:tc>
        <w:tc>
          <w:tcPr>
            <w:tcW w:w="5725" w:type="dxa"/>
            <w:tcBorders>
              <w:top w:val="single" w:sz="4" w:space="0" w:color="auto"/>
              <w:bottom w:val="single" w:sz="4" w:space="0" w:color="auto"/>
            </w:tcBorders>
          </w:tcPr>
          <w:p w:rsidR="00D02866" w:rsidRDefault="00D02866">
            <w:pPr>
              <w:pStyle w:val="ConsPlusNormal"/>
              <w:jc w:val="center"/>
            </w:pPr>
            <w:r>
              <w:t>Врачебная тактика</w:t>
            </w:r>
          </w:p>
        </w:tc>
      </w:tr>
      <w:tr w:rsidR="00D02866">
        <w:tc>
          <w:tcPr>
            <w:tcW w:w="3345" w:type="dxa"/>
            <w:tcBorders>
              <w:top w:val="single" w:sz="4" w:space="0" w:color="auto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Необструктивная ГКМП или</w:t>
            </w:r>
          </w:p>
        </w:tc>
        <w:tc>
          <w:tcPr>
            <w:tcW w:w="5725" w:type="dxa"/>
            <w:vMerge w:val="restart"/>
            <w:tcBorders>
              <w:top w:val="single" w:sz="4" w:space="0" w:color="auto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Пролонгирование беременности может быть разрешено при условии постоянного наблюдения кардиологом (не реже 1 раза в месяц)</w:t>
            </w:r>
          </w:p>
        </w:tc>
      </w:tr>
      <w:tr w:rsidR="00D02866">
        <w:tblPrEx>
          <w:tblBorders>
            <w:insideH w:val="none" w:sz="0" w:space="0" w:color="auto"/>
          </w:tblBorders>
        </w:tblPrEx>
        <w:trPr>
          <w:trHeight w:val="269"/>
        </w:trPr>
        <w:tc>
          <w:tcPr>
            <w:tcW w:w="3345" w:type="dxa"/>
            <w:vMerge w:val="restart"/>
            <w:tcBorders>
              <w:top w:val="nil"/>
              <w:bottom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небольшая степень обструкции ВТЛЖ (ГД &lt; 30 мм рт. ст.)</w:t>
            </w:r>
          </w:p>
        </w:tc>
        <w:tc>
          <w:tcPr>
            <w:tcW w:w="5725" w:type="dxa"/>
            <w:vMerge/>
            <w:tcBorders>
              <w:top w:val="single" w:sz="4" w:space="0" w:color="auto"/>
              <w:bottom w:val="nil"/>
            </w:tcBorders>
          </w:tcPr>
          <w:p w:rsidR="00D02866" w:rsidRDefault="00D02866">
            <w:pPr>
              <w:pStyle w:val="ConsPlusNormal"/>
            </w:pPr>
          </w:p>
        </w:tc>
      </w:tr>
      <w:tr w:rsidR="00D02866">
        <w:tblPrEx>
          <w:tblBorders>
            <w:insideH w:val="none" w:sz="0" w:space="0" w:color="auto"/>
          </w:tblBorders>
        </w:tblPrEx>
        <w:tc>
          <w:tcPr>
            <w:tcW w:w="3345" w:type="dxa"/>
            <w:vMerge/>
            <w:tcBorders>
              <w:top w:val="nil"/>
              <w:bottom w:val="single" w:sz="4" w:space="0" w:color="auto"/>
            </w:tcBorders>
          </w:tcPr>
          <w:p w:rsidR="00D02866" w:rsidRDefault="00D02866">
            <w:pPr>
              <w:pStyle w:val="ConsPlusNormal"/>
            </w:pPr>
          </w:p>
        </w:tc>
        <w:tc>
          <w:tcPr>
            <w:tcW w:w="5725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Госпитализация осуществляется в сроки, рекомендованные для всех пациенток с сердечно-сосудистыми заболеваниями, при необходимости - чаще.</w:t>
            </w:r>
          </w:p>
        </w:tc>
      </w:tr>
      <w:tr w:rsidR="00D02866">
        <w:tc>
          <w:tcPr>
            <w:tcW w:w="3345" w:type="dxa"/>
            <w:vMerge/>
            <w:tcBorders>
              <w:top w:val="nil"/>
              <w:bottom w:val="single" w:sz="4" w:space="0" w:color="auto"/>
            </w:tcBorders>
          </w:tcPr>
          <w:p w:rsidR="00D02866" w:rsidRDefault="00D02866">
            <w:pPr>
              <w:pStyle w:val="ConsPlusNormal"/>
            </w:pPr>
          </w:p>
        </w:tc>
        <w:tc>
          <w:tcPr>
            <w:tcW w:w="5725" w:type="dxa"/>
            <w:tcBorders>
              <w:top w:val="nil"/>
              <w:bottom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Роды через естественные родовые пути.</w:t>
            </w:r>
          </w:p>
        </w:tc>
      </w:tr>
      <w:tr w:rsidR="00D02866"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Средняя степень обструкции ВТЛЖ (ГД 30 - 50 мм рт. ст.)</w:t>
            </w:r>
          </w:p>
        </w:tc>
        <w:tc>
          <w:tcPr>
            <w:tcW w:w="5725" w:type="dxa"/>
            <w:tcBorders>
              <w:top w:val="single" w:sz="4" w:space="0" w:color="auto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Вопрос о вынашивании беременности решается индивидуально: необходимо постоянное наблюдение кардиолога (терапевта) и акушера-гинеколога.</w:t>
            </w:r>
          </w:p>
        </w:tc>
      </w:tr>
      <w:tr w:rsidR="00D02866">
        <w:tblPrEx>
          <w:tblBorders>
            <w:insideH w:val="none" w:sz="0" w:space="0" w:color="auto"/>
          </w:tblBorders>
        </w:tblPrEx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02866" w:rsidRDefault="00D02866">
            <w:pPr>
              <w:pStyle w:val="ConsPlusNormal"/>
            </w:pPr>
          </w:p>
        </w:tc>
        <w:tc>
          <w:tcPr>
            <w:tcW w:w="5725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Сроки госпитализации те же; также в любой срок при ухудшении состояния и развитии осложнений.</w:t>
            </w:r>
          </w:p>
        </w:tc>
      </w:tr>
      <w:tr w:rsidR="00D02866"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02866" w:rsidRDefault="00D02866">
            <w:pPr>
              <w:pStyle w:val="ConsPlusNormal"/>
            </w:pPr>
          </w:p>
        </w:tc>
        <w:tc>
          <w:tcPr>
            <w:tcW w:w="5725" w:type="dxa"/>
            <w:tcBorders>
              <w:top w:val="nil"/>
              <w:bottom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Роды проводят через естественные родовые пути с исключением потуг.</w:t>
            </w:r>
          </w:p>
        </w:tc>
      </w:tr>
      <w:tr w:rsidR="00D02866">
        <w:tc>
          <w:tcPr>
            <w:tcW w:w="3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 xml:space="preserve">Тяжелая степень обструкции ВТЛЖ (ГД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50 мм рт. ст.)</w:t>
            </w:r>
          </w:p>
        </w:tc>
        <w:tc>
          <w:tcPr>
            <w:tcW w:w="5725" w:type="dxa"/>
            <w:tcBorders>
              <w:top w:val="single" w:sz="4" w:space="0" w:color="auto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Вынашивание беременности и роды категорически противопоказаны.</w:t>
            </w:r>
          </w:p>
        </w:tc>
      </w:tr>
      <w:tr w:rsidR="00D02866">
        <w:tblPrEx>
          <w:tblBorders>
            <w:insideH w:val="none" w:sz="0" w:space="0" w:color="auto"/>
          </w:tblBorders>
        </w:tblPrEx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02866" w:rsidRDefault="00D02866">
            <w:pPr>
              <w:pStyle w:val="ConsPlusNormal"/>
            </w:pPr>
          </w:p>
        </w:tc>
        <w:tc>
          <w:tcPr>
            <w:tcW w:w="5725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При отказе женщины от прерывания беременности показана госпитализация практически на весь срок беременности. Родоразрешение проводят путем операции кесарева сечения.</w:t>
            </w:r>
          </w:p>
        </w:tc>
      </w:tr>
      <w:tr w:rsidR="00D02866">
        <w:tblPrEx>
          <w:tblBorders>
            <w:insideH w:val="none" w:sz="0" w:space="0" w:color="auto"/>
          </w:tblBorders>
        </w:tblPrEx>
        <w:tc>
          <w:tcPr>
            <w:tcW w:w="3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02866" w:rsidRDefault="00D02866">
            <w:pPr>
              <w:pStyle w:val="ConsPlusNormal"/>
            </w:pPr>
          </w:p>
        </w:tc>
        <w:tc>
          <w:tcPr>
            <w:tcW w:w="5725" w:type="dxa"/>
            <w:tcBorders>
              <w:top w:val="nil"/>
              <w:bottom w:val="single" w:sz="4" w:space="0" w:color="auto"/>
            </w:tcBorders>
          </w:tcPr>
          <w:p w:rsidR="00D02866" w:rsidRDefault="00D02866">
            <w:pPr>
              <w:pStyle w:val="ConsPlusNormal"/>
              <w:jc w:val="both"/>
            </w:pPr>
            <w:r>
              <w:t>Использование эпидуральной анестезии с осторожностью из-за опасности артериальной гипотензии.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Б13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409" w:name="P1861"/>
      <w:bookmarkEnd w:id="409"/>
      <w:r>
        <w:t>УЧРЕЖДЕНИЕ ДЛЯ ВЕДЕНИЯ БЕРЕМЕННЫХ С ГКМП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94"/>
        <w:gridCol w:w="3061"/>
        <w:gridCol w:w="3514"/>
      </w:tblGrid>
      <w:tr w:rsidR="00D02866">
        <w:tc>
          <w:tcPr>
            <w:tcW w:w="2494" w:type="dxa"/>
          </w:tcPr>
          <w:p w:rsidR="00D02866" w:rsidRDefault="00D02866">
            <w:pPr>
              <w:pStyle w:val="ConsPlusNormal"/>
            </w:pPr>
          </w:p>
        </w:tc>
        <w:tc>
          <w:tcPr>
            <w:tcW w:w="3061" w:type="dxa"/>
          </w:tcPr>
          <w:p w:rsidR="00D02866" w:rsidRDefault="00D02866">
            <w:pPr>
              <w:pStyle w:val="ConsPlusNormal"/>
              <w:jc w:val="center"/>
            </w:pPr>
            <w:r>
              <w:t>ВОЗ II</w:t>
            </w:r>
          </w:p>
          <w:p w:rsidR="00D02866" w:rsidRDefault="00D02866">
            <w:pPr>
              <w:pStyle w:val="ConsPlusNormal"/>
              <w:jc w:val="center"/>
            </w:pPr>
            <w:r>
              <w:t>(бессимптомные или малосимптомные пациентки)</w:t>
            </w:r>
          </w:p>
        </w:tc>
        <w:tc>
          <w:tcPr>
            <w:tcW w:w="3514" w:type="dxa"/>
          </w:tcPr>
          <w:p w:rsidR="00D02866" w:rsidRDefault="00D02866">
            <w:pPr>
              <w:pStyle w:val="ConsPlusNormal"/>
              <w:jc w:val="center"/>
            </w:pPr>
            <w:r>
              <w:t>ВОЗ III</w:t>
            </w:r>
          </w:p>
          <w:p w:rsidR="00D02866" w:rsidRDefault="00D02866">
            <w:pPr>
              <w:pStyle w:val="ConsPlusNormal"/>
              <w:jc w:val="center"/>
            </w:pPr>
            <w:r>
              <w:t>(симптомные пациентки с ГКМП)</w:t>
            </w:r>
          </w:p>
        </w:tc>
      </w:tr>
      <w:tr w:rsidR="00D02866">
        <w:tc>
          <w:tcPr>
            <w:tcW w:w="2494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Ведение беременных</w:t>
            </w:r>
          </w:p>
        </w:tc>
        <w:tc>
          <w:tcPr>
            <w:tcW w:w="306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Региональный перинатальный центр</w:t>
            </w:r>
          </w:p>
        </w:tc>
        <w:tc>
          <w:tcPr>
            <w:tcW w:w="3514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Экспертный центр.</w:t>
            </w:r>
          </w:p>
        </w:tc>
      </w:tr>
      <w:tr w:rsidR="00D02866">
        <w:tc>
          <w:tcPr>
            <w:tcW w:w="249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306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3514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Перинатальный центр 3 уровня</w:t>
            </w:r>
          </w:p>
        </w:tc>
      </w:tr>
      <w:tr w:rsidR="00D02866">
        <w:tc>
          <w:tcPr>
            <w:tcW w:w="2494" w:type="dxa"/>
          </w:tcPr>
          <w:p w:rsidR="00D02866" w:rsidRDefault="00D02866">
            <w:pPr>
              <w:pStyle w:val="ConsPlusNormal"/>
              <w:jc w:val="both"/>
            </w:pPr>
            <w:r>
              <w:t>Частота осмотров</w:t>
            </w:r>
          </w:p>
        </w:tc>
        <w:tc>
          <w:tcPr>
            <w:tcW w:w="3061" w:type="dxa"/>
          </w:tcPr>
          <w:p w:rsidR="00D02866" w:rsidRDefault="00D02866">
            <w:pPr>
              <w:pStyle w:val="ConsPlusNormal"/>
              <w:jc w:val="both"/>
            </w:pPr>
            <w:r>
              <w:t>1 раз в 2 месяца</w:t>
            </w:r>
          </w:p>
        </w:tc>
        <w:tc>
          <w:tcPr>
            <w:tcW w:w="3514" w:type="dxa"/>
          </w:tcPr>
          <w:p w:rsidR="00D02866" w:rsidRDefault="00D02866">
            <w:pPr>
              <w:pStyle w:val="ConsPlusNormal"/>
              <w:jc w:val="both"/>
            </w:pPr>
            <w:r>
              <w:t>Каждый месяц или 2 раза в месяц</w:t>
            </w:r>
          </w:p>
        </w:tc>
      </w:tr>
      <w:tr w:rsidR="00D02866">
        <w:tc>
          <w:tcPr>
            <w:tcW w:w="2494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Учреждение для родоразрешения</w:t>
            </w:r>
          </w:p>
        </w:tc>
        <w:tc>
          <w:tcPr>
            <w:tcW w:w="306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Региональный перинатальный центр</w:t>
            </w:r>
          </w:p>
        </w:tc>
        <w:tc>
          <w:tcPr>
            <w:tcW w:w="3514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Экспертный центр.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49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306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3514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Перинатальный центр 3 уровня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Алгоритм ведения пациента с ГКМП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center"/>
      </w:pPr>
      <w:r>
        <w:rPr>
          <w:noProof/>
          <w:position w:val="-286"/>
        </w:rPr>
        <w:lastRenderedPageBreak/>
        <w:drawing>
          <wp:inline distT="0" distB="0" distL="0" distR="0">
            <wp:extent cx="5490845" cy="3780790"/>
            <wp:effectExtent l="0" t="0" r="0" b="0"/>
            <wp:docPr id="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845" cy="378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0"/>
      </w:pPr>
      <w:r>
        <w:t>Приложение В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bookmarkStart w:id="410" w:name="P1890"/>
      <w:bookmarkEnd w:id="410"/>
      <w:r>
        <w:t>ИНФОРМАЦИЯ ДЛЯ ПАЦИЕНТОВ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1"/>
      </w:pPr>
      <w:r>
        <w:t xml:space="preserve">Общие рекомендации по образу жизни (адаптировано из </w:t>
      </w:r>
      <w:hyperlink w:anchor="P1038">
        <w:r>
          <w:rPr>
            <w:color w:val="0000FF"/>
          </w:rPr>
          <w:t>[4]</w:t>
        </w:r>
      </w:hyperlink>
      <w:r>
        <w:t>)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7313"/>
      </w:tblGrid>
      <w:tr w:rsidR="00D02866">
        <w:tc>
          <w:tcPr>
            <w:tcW w:w="1757" w:type="dxa"/>
          </w:tcPr>
          <w:p w:rsidR="00D02866" w:rsidRDefault="00D02866">
            <w:pPr>
              <w:pStyle w:val="ConsPlusNormal"/>
              <w:jc w:val="center"/>
            </w:pPr>
            <w:r>
              <w:t>Область</w:t>
            </w:r>
          </w:p>
        </w:tc>
        <w:tc>
          <w:tcPr>
            <w:tcW w:w="7313" w:type="dxa"/>
          </w:tcPr>
          <w:p w:rsidR="00D02866" w:rsidRDefault="00D02866">
            <w:pPr>
              <w:pStyle w:val="ConsPlusNormal"/>
              <w:jc w:val="center"/>
            </w:pPr>
            <w:r>
              <w:t>Рекомендации</w:t>
            </w:r>
          </w:p>
        </w:tc>
      </w:tr>
      <w:tr w:rsidR="00D02866"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Нагрузки</w:t>
            </w:r>
          </w:p>
        </w:tc>
        <w:tc>
          <w:tcPr>
            <w:tcW w:w="7313" w:type="dxa"/>
          </w:tcPr>
          <w:p w:rsidR="00D02866" w:rsidRDefault="00D02866">
            <w:pPr>
              <w:pStyle w:val="ConsPlusNormal"/>
              <w:jc w:val="both"/>
            </w:pPr>
            <w:r>
              <w:t>Пациентам следует избегать соревновательного спорта, но по возможности поддерживать обычный образ жизни. В отсутствие симптомов и факторов риска ВСС пациенты с ГКМП могут участвовать в физической активности от небольшой до средней степени интенсивности, в соответствии с рекомендациями кардиолога.</w:t>
            </w:r>
          </w:p>
        </w:tc>
      </w:tr>
      <w:tr w:rsidR="00D02866">
        <w:tc>
          <w:tcPr>
            <w:tcW w:w="1757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Диета</w:t>
            </w:r>
          </w:p>
        </w:tc>
        <w:tc>
          <w:tcPr>
            <w:tcW w:w="7313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Пациентам следует стараться поддерживать нормальный вес тела.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1757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313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Прием большого объема пищи может вызвать боли в грудной клетке, особенно у пациентов с обструкцией ВТЛЖ.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1757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313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Целесообразно частое дробное питание.</w:t>
            </w:r>
          </w:p>
        </w:tc>
      </w:tr>
      <w:tr w:rsidR="00D02866">
        <w:tc>
          <w:tcPr>
            <w:tcW w:w="1757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313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Запоры - частый побочный эффект верапамила**, должны контролироваться диетой и/или слабительными средствами.</w:t>
            </w:r>
          </w:p>
        </w:tc>
      </w:tr>
      <w:tr w:rsidR="00D02866">
        <w:tc>
          <w:tcPr>
            <w:tcW w:w="1757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Профессия</w:t>
            </w:r>
          </w:p>
        </w:tc>
        <w:tc>
          <w:tcPr>
            <w:tcW w:w="7313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Большинство пациентов с ГКМП могут продолжать обычную трудовую деятельность. Уровень физических усилий на работе должен соответствовать клиническому статусу пациента.</w:t>
            </w:r>
          </w:p>
        </w:tc>
      </w:tr>
      <w:tr w:rsidR="00D02866">
        <w:tc>
          <w:tcPr>
            <w:tcW w:w="1757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313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Для некоторых видов деятельности (пилотирование, военная служба) существуют строгие ограничения при приеме на работу.</w:t>
            </w:r>
          </w:p>
        </w:tc>
      </w:tr>
      <w:tr w:rsidR="00D02866"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Курение</w:t>
            </w:r>
          </w:p>
        </w:tc>
        <w:tc>
          <w:tcPr>
            <w:tcW w:w="7313" w:type="dxa"/>
          </w:tcPr>
          <w:p w:rsidR="00D02866" w:rsidRDefault="00D02866">
            <w:pPr>
              <w:pStyle w:val="ConsPlusNormal"/>
              <w:jc w:val="both"/>
            </w:pPr>
            <w:r>
              <w:t>Нет данных о связи табакокурения и ГКМП, но пациентам необходимо предоставить информацию о рисках для здоровья, связанных с курением.</w:t>
            </w:r>
          </w:p>
        </w:tc>
      </w:tr>
      <w:tr w:rsidR="00D02866">
        <w:tc>
          <w:tcPr>
            <w:tcW w:w="1757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Сексуальная активность</w:t>
            </w:r>
          </w:p>
        </w:tc>
        <w:tc>
          <w:tcPr>
            <w:tcW w:w="7313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У пациентов должна быть возможность обсудить интересующие их вопросы сексуальной активности. Пациенты после установления диагноза часто испытывают беспокойство, депрессию и страх передать заболевание потомству.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1757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313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Пациентам следует знать о влиянии принимаемых лекарственных препаратов на их сексуальную активность.</w:t>
            </w:r>
          </w:p>
        </w:tc>
      </w:tr>
      <w:tr w:rsidR="00D02866">
        <w:tc>
          <w:tcPr>
            <w:tcW w:w="1757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313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Пациентам следует избегать приема ингибиторов фосфодиэстеразы, особенно при наличии обструкции ВТЛЖ.</w:t>
            </w:r>
          </w:p>
        </w:tc>
      </w:tr>
      <w:tr w:rsidR="00D02866"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Вождение автомобиля</w:t>
            </w:r>
          </w:p>
        </w:tc>
        <w:tc>
          <w:tcPr>
            <w:tcW w:w="7313" w:type="dxa"/>
          </w:tcPr>
          <w:p w:rsidR="00D02866" w:rsidRDefault="00D02866">
            <w:pPr>
              <w:pStyle w:val="ConsPlusNormal"/>
              <w:jc w:val="both"/>
            </w:pPr>
            <w:r>
              <w:t>Большинство пациентов могут получать водительские права и продолжать водить машину, если у них нет инвалидизирующих симптомов.</w:t>
            </w:r>
          </w:p>
        </w:tc>
      </w:tr>
      <w:tr w:rsidR="00D02866"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Вакцинация</w:t>
            </w:r>
          </w:p>
        </w:tc>
        <w:tc>
          <w:tcPr>
            <w:tcW w:w="7313" w:type="dxa"/>
          </w:tcPr>
          <w:p w:rsidR="00D02866" w:rsidRDefault="00D02866">
            <w:pPr>
              <w:pStyle w:val="ConsPlusNormal"/>
              <w:jc w:val="both"/>
            </w:pPr>
            <w:r>
              <w:t>При отсутствии противопоказаний рекомендована ежегодная вакцинация от гриппа.</w:t>
            </w:r>
          </w:p>
        </w:tc>
      </w:tr>
      <w:tr w:rsidR="00D02866"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Лекарственные препараты</w:t>
            </w:r>
          </w:p>
        </w:tc>
        <w:tc>
          <w:tcPr>
            <w:tcW w:w="7313" w:type="dxa"/>
          </w:tcPr>
          <w:p w:rsidR="00D02866" w:rsidRDefault="00D02866">
            <w:pPr>
              <w:pStyle w:val="ConsPlusNormal"/>
              <w:jc w:val="both"/>
            </w:pPr>
            <w:r>
              <w:t>Пациентам следует знать о принимаемых ими лекарственных препаратах, их побочных эффектах и межлекарственном взаимодействии. По возможности следует избегать приема периферических вазодилататоров, особенно при обструкции ВТЛЖ.</w:t>
            </w:r>
          </w:p>
        </w:tc>
      </w:tr>
      <w:tr w:rsidR="00D02866"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Страхование жизни</w:t>
            </w:r>
          </w:p>
        </w:tc>
        <w:tc>
          <w:tcPr>
            <w:tcW w:w="7313" w:type="dxa"/>
          </w:tcPr>
          <w:p w:rsidR="00D02866" w:rsidRDefault="00D02866">
            <w:pPr>
              <w:pStyle w:val="ConsPlusNormal"/>
              <w:jc w:val="both"/>
            </w:pPr>
            <w:r>
              <w:t>Диагноз ГКМП может привести к затруднениям при страховании жизни.</w:t>
            </w:r>
          </w:p>
        </w:tc>
      </w:tr>
      <w:tr w:rsidR="00D02866"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Авиаперелеты</w:t>
            </w:r>
          </w:p>
        </w:tc>
        <w:tc>
          <w:tcPr>
            <w:tcW w:w="7313" w:type="dxa"/>
          </w:tcPr>
          <w:p w:rsidR="00D02866" w:rsidRDefault="00D02866">
            <w:pPr>
              <w:pStyle w:val="ConsPlusNormal"/>
              <w:jc w:val="both"/>
            </w:pPr>
            <w:r>
              <w:t>Большинство бессимптомных пациентов или с незначительной симптоматикой могут безопасно совершать авиаперелеты.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0"/>
      </w:pPr>
      <w:r>
        <w:t>Приложение Г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Г1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r>
        <w:t>ПРИНЦИПЫ И ОСОБЕННОСТИ</w:t>
      </w:r>
    </w:p>
    <w:p w:rsidR="00D02866" w:rsidRDefault="00D02866">
      <w:pPr>
        <w:pStyle w:val="ConsPlusTitle"/>
        <w:jc w:val="center"/>
      </w:pPr>
      <w:r>
        <w:t>ДИАГНОСТИКИ И ОЦЕНКИ СЕРДЕЧНО-СОСУДИСТОГО РИСКА ПРИ ГКМП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11" w:name="P1938"/>
      <w:bookmarkEnd w:id="411"/>
      <w:r>
        <w:t xml:space="preserve">Таблица П1/Г1. Изменения лабораторных тестов, позволяющие заподозрить некоторые фенокопии ГКМП (адаптировано из </w:t>
      </w:r>
      <w:hyperlink w:anchor="P1038">
        <w:r>
          <w:rPr>
            <w:color w:val="0000FF"/>
          </w:rPr>
          <w:t>[4]</w:t>
        </w:r>
      </w:hyperlink>
      <w:r>
        <w:t>)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6349"/>
      </w:tblGrid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center"/>
            </w:pPr>
            <w:r>
              <w:t>Тест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center"/>
            </w:pPr>
            <w:r>
              <w:t>Заболевания (фенокопии ГКМП)</w:t>
            </w:r>
          </w:p>
        </w:tc>
      </w:tr>
      <w:tr w:rsidR="00D02866">
        <w:tc>
          <w:tcPr>
            <w:tcW w:w="272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Гемоглобин</w:t>
            </w:r>
          </w:p>
        </w:tc>
        <w:tc>
          <w:tcPr>
            <w:tcW w:w="634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При анемии усиливаются боли в грудной клетке и одышка, и ее следует исключать при изменении симптоматики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72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34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Анемия, вызывая тахикардию, может способствовать увеличению ГД в ВТЛЖ.</w:t>
            </w:r>
          </w:p>
        </w:tc>
      </w:tr>
      <w:tr w:rsidR="00D02866">
        <w:tc>
          <w:tcPr>
            <w:tcW w:w="272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34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Снижение кислород-транспортной функции крови может является дополнительным фактором ишемии миокарда.</w:t>
            </w:r>
          </w:p>
        </w:tc>
      </w:tr>
      <w:tr w:rsidR="00D02866">
        <w:tc>
          <w:tcPr>
            <w:tcW w:w="272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Функция почек</w:t>
            </w:r>
          </w:p>
        </w:tc>
        <w:tc>
          <w:tcPr>
            <w:tcW w:w="634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У пациентов с тяжелой левожелудочковой ХСН может быть нарушена функция почек.</w:t>
            </w:r>
          </w:p>
        </w:tc>
      </w:tr>
      <w:tr w:rsidR="00D02866">
        <w:tc>
          <w:tcPr>
            <w:tcW w:w="272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34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Снижение СКФ и протеинурия могут наблюдаться при амилоидозе, болезни Андерсона-Фабри и митохондриальных болезнях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t>МНУП и N-терминальный про-МНУП (Nt-proBNP)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Диагностика ХСН на ранней стадии. Мониторинг тяжести ХСН и ответа на терапию при фенокопиях ГКМП ГКМП (напр. кардиальном амилоидозе).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t>Сердечный тропонин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Повышен:</w:t>
            </w:r>
          </w:p>
          <w:p w:rsidR="00D02866" w:rsidRDefault="00D02866">
            <w:pPr>
              <w:pStyle w:val="ConsPlusNormal"/>
              <w:jc w:val="both"/>
            </w:pPr>
            <w:r>
              <w:t>- у пациентов с ГКМП, особенно при прогрессировании симптомов ГКМП,</w:t>
            </w:r>
          </w:p>
          <w:p w:rsidR="00D02866" w:rsidRDefault="00D02866">
            <w:pPr>
              <w:pStyle w:val="ConsPlusNormal"/>
              <w:jc w:val="both"/>
            </w:pPr>
            <w:r>
              <w:t>- при развитии ИМ 2 или 1 типа</w:t>
            </w:r>
          </w:p>
          <w:p w:rsidR="00D02866" w:rsidRDefault="00D02866">
            <w:pPr>
              <w:pStyle w:val="ConsPlusNormal"/>
              <w:jc w:val="both"/>
            </w:pPr>
            <w:r>
              <w:t>- при некоторых фенокопиях ГКМП (напр., кардиальном амилоидозе)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t>Определение концентрации свободных легких цепей иммуноглобулинов (каппа и лямбда) в крови и моче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При подозрении на AL-амилоидоз сердца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t>Исследование костного мозга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При подозрении на амилоидоз сердца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t>Трансаминазы печени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Печеночные тесты могут быть измененными при митохондриальных болезнях, болезни Данона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t>Креатинфосфокиназа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Креатинфосфокиназа плазмы возрастает при болезни Данона и митохондриальных болезнях, десминопатиях</w:t>
            </w:r>
          </w:p>
        </w:tc>
      </w:tr>
      <w:tr w:rsidR="00D02866">
        <w:tc>
          <w:tcPr>
            <w:tcW w:w="272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Активность альфа-галактозидазы A в плазме/лейкоцитах (у мужчин &gt; 30 лет)</w:t>
            </w:r>
          </w:p>
        </w:tc>
        <w:tc>
          <w:tcPr>
            <w:tcW w:w="634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У мужчин с болезнью Андерсона-Фабри низкая (&lt; 10% от нормального уровня) или неопределяемая активность альфа-галактозидазы A.</w:t>
            </w:r>
          </w:p>
        </w:tc>
      </w:tr>
      <w:tr w:rsidR="00D02866">
        <w:tc>
          <w:tcPr>
            <w:tcW w:w="272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34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У женщин с болезнью Андерсона-Фабри уровень фермента в плазме и лейкоцитах часто в пределах нормы, поэтому, при клиническом подозрении требуется генетическое тестирование.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t>Глюкоза натощак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Может быть повышена при некоторых митохондриальных болезнях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t>Оценка функции щитовидной железы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Должна быть определена в момент постановки диагноза и мониторироваться каждые 6 месяцев у пациентов с ГКМП, получающих амиодарон**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Лактат плазмы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Увеличен у некоторых пациентов при митохондриальных болезнях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12" w:name="P1974"/>
      <w:bookmarkEnd w:id="412"/>
      <w:r>
        <w:t xml:space="preserve">Таблица П2/Г1. Электрокардиографические аномалии, позволяющие предположить конкретный диагноз фенокопии ГКМП или морфологический вариант ГКМП (по Rapezzi C. et al., 2013 </w:t>
      </w:r>
      <w:hyperlink w:anchor="P1198">
        <w:r>
          <w:rPr>
            <w:color w:val="0000FF"/>
          </w:rPr>
          <w:t>[164]</w:t>
        </w:r>
      </w:hyperlink>
      <w:r>
        <w:t>)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6349"/>
      </w:tblGrid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center"/>
            </w:pPr>
            <w:r>
              <w:t>Особенности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center"/>
            </w:pPr>
            <w:r>
              <w:t>Комментарий</w:t>
            </w:r>
          </w:p>
        </w:tc>
      </w:tr>
      <w:tr w:rsidR="00D02866">
        <w:tc>
          <w:tcPr>
            <w:tcW w:w="272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Короткий PR-интервал/раннее возбуждение</w:t>
            </w:r>
          </w:p>
        </w:tc>
        <w:tc>
          <w:tcPr>
            <w:tcW w:w="634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Раннее возбуждение желудочков - частый феномен болезней накопления (болезни Помпе, PRKAG2 и Данона) и митохондриальных болезней (MELAS, MERFF).</w:t>
            </w:r>
          </w:p>
        </w:tc>
      </w:tr>
      <w:tr w:rsidR="00D02866">
        <w:tc>
          <w:tcPr>
            <w:tcW w:w="272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34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Короткий PR-интервал без раннего возбуждения желудочков встречается при болезни Андерсона-Фабри.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t>АВ-блокада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Прогрессирующее замедление атриовентрикулярного проведения часто встречается при митохондриальных заболеваниях, некоторых болезнях накопления (включая болезнь Андерсона-Фабри), амилоидозе, десминопатиях, а также у пациентов с мутациями в гене PRKAG2.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t>Выраженная ГЛЖ (индекс Соколова &gt; 50)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Чрезвычайно большой вольтаж QRS типичен для болезней Помпе и Данона, но может быть результатом только раннего возбуждения желудочков.</w:t>
            </w:r>
          </w:p>
        </w:tc>
      </w:tr>
      <w:tr w:rsidR="00D02866">
        <w:tc>
          <w:tcPr>
            <w:tcW w:w="272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Низкий вольтаж QRS (или нормальный вольтаж несмотря на увеличение толщины стенки ЛЖ)</w:t>
            </w:r>
          </w:p>
        </w:tc>
        <w:tc>
          <w:tcPr>
            <w:tcW w:w="634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Низкий вольтаж QRS в отсутствие перикардиального выпота, ожирения и болезни легких редко наблюдается при ГКМП (за исключением случаев стадии декомпенсации), но характерен для пациентов с AL-амилоидозом и реже - при транстиретиновом амилоидозе.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72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34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Дифференциальный диагноз между ГКМП и кардиальной формой амилоидоза включает анализ соотношения вольтаж/масса ЛЖ:</w:t>
            </w:r>
          </w:p>
        </w:tc>
      </w:tr>
      <w:tr w:rsidR="00D02866">
        <w:tc>
          <w:tcPr>
            <w:tcW w:w="272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34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 xml:space="preserve">аномальное соотношение (низкий вольтаж при толщине стенки ЛЖ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12 мм) характерно для кардиального амилоидоза (чувствительность 75%, специфичность 67%).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t>Вектор QRS от -90° до -150°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Наблюдается у пациентов с синдромом Нунан, имеющих выраженную базальную гипертрофию, распространяющуюся на выходной тракт ПЖ.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t>Гигантский негативный зубец T (&gt; 10 мм)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Гигантский негативный зубец T в прекордиальных и/или переднелатеральных отведениях свидетельствует о вовлечении верхушки ЛЖ.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721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Патологический зубец Q (&gt; 40 мс и/или &gt; 25% глубины</w:t>
            </w:r>
          </w:p>
        </w:tc>
        <w:tc>
          <w:tcPr>
            <w:tcW w:w="634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Аномально глубокий зубец Q в переднелатеральных отведениях, обычно с положительной T-волной, ассоциирован с асимметричной гипертрофией ЛЖ.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721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 xml:space="preserve">R-волны и/или глубина &gt; 3 мм хотя бы в двух </w:t>
            </w:r>
            <w:r>
              <w:lastRenderedPageBreak/>
              <w:t>отведениях, кроме aVR</w:t>
            </w:r>
          </w:p>
        </w:tc>
        <w:tc>
          <w:tcPr>
            <w:tcW w:w="634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Аномальная продолжительность зубца Q (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40 ms) ассоциирована с областями фиброзного замещения.</w:t>
            </w:r>
          </w:p>
        </w:tc>
      </w:tr>
      <w:tr w:rsidR="00D02866">
        <w:tc>
          <w:tcPr>
            <w:tcW w:w="2721" w:type="dxa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Сводчатая элевация сегмента ST в латеральных грудных отведениях</w:t>
            </w:r>
          </w:p>
        </w:tc>
        <w:tc>
          <w:tcPr>
            <w:tcW w:w="6349" w:type="dxa"/>
          </w:tcPr>
          <w:p w:rsidR="00D02866" w:rsidRDefault="00D02866">
            <w:pPr>
              <w:pStyle w:val="ConsPlusNormal"/>
              <w:jc w:val="both"/>
            </w:pPr>
            <w:r>
              <w:t>У некоторых пациентов с апикальной или дистальной гипертрофией развиваются апикальные аневризмы, иногда ассоциированные с фиброзом миокарда. Малых размеров аневризмы выявляются только при МРТ сердца, ЭХОКГ с контрастированием или вентрикулографии, часто ассоциированы с элевацией сегмента ST в латеральных грудных отведениях.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13" w:name="P2000"/>
      <w:bookmarkEnd w:id="413"/>
      <w:r>
        <w:t xml:space="preserve">Таблица П3/Г1. Параметры протокола ТТ-ЭХОКГ-исследования у пациента с ГКМП (адаптировано из </w:t>
      </w:r>
      <w:hyperlink w:anchor="P1250">
        <w:r>
          <w:rPr>
            <w:color w:val="0000FF"/>
          </w:rPr>
          <w:t>[216]</w:t>
        </w:r>
      </w:hyperlink>
      <w:r>
        <w:t>)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91"/>
        <w:gridCol w:w="6179"/>
      </w:tblGrid>
      <w:tr w:rsidR="00D02866">
        <w:tc>
          <w:tcPr>
            <w:tcW w:w="2891" w:type="dxa"/>
          </w:tcPr>
          <w:p w:rsidR="00D02866" w:rsidRDefault="00D02866">
            <w:pPr>
              <w:pStyle w:val="ConsPlusNormal"/>
              <w:jc w:val="center"/>
            </w:pPr>
            <w:r>
              <w:t>Параметры</w:t>
            </w:r>
          </w:p>
        </w:tc>
        <w:tc>
          <w:tcPr>
            <w:tcW w:w="6179" w:type="dxa"/>
          </w:tcPr>
          <w:p w:rsidR="00D02866" w:rsidRDefault="00D02866">
            <w:pPr>
              <w:pStyle w:val="ConsPlusNormal"/>
              <w:jc w:val="center"/>
            </w:pPr>
            <w:r>
              <w:t>Комментарии</w:t>
            </w:r>
          </w:p>
        </w:tc>
      </w:tr>
      <w:tr w:rsidR="00D02866">
        <w:tc>
          <w:tcPr>
            <w:tcW w:w="2891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Толщина миокарда ЛЖ (в 16 сегментах ЛЖ)</w:t>
            </w:r>
          </w:p>
        </w:tc>
        <w:tc>
          <w:tcPr>
            <w:tcW w:w="6179" w:type="dxa"/>
            <w:vMerge w:val="restart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Измерение толщины стенок ЛЖ следует проводить в конечно-диастолическую фазу, предпочтительно - в парастернальной позиции по короткой оси ЛЖ (желательно толщину миокарда в гипертрофированных сегментах оценивать в нескольких проекциях, но измерения в апикальных сканах переоценивают толщину миокарда из-за ограничений бокового разрешения).</w:t>
            </w:r>
          </w:p>
        </w:tc>
      </w:tr>
      <w:tr w:rsidR="00D02866">
        <w:tblPrEx>
          <w:tblBorders>
            <w:insideH w:val="nil"/>
          </w:tblBorders>
        </w:tblPrEx>
        <w:trPr>
          <w:trHeight w:val="269"/>
        </w:trPr>
        <w:tc>
          <w:tcPr>
            <w:tcW w:w="2891" w:type="dxa"/>
            <w:vMerge w:val="restart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Количество гипертрофированных сегментов ЛЖ</w:t>
            </w:r>
          </w:p>
        </w:tc>
        <w:tc>
          <w:tcPr>
            <w:tcW w:w="6179" w:type="dxa"/>
            <w:vMerge/>
            <w:tcBorders>
              <w:bottom w:val="nil"/>
            </w:tcBorders>
          </w:tcPr>
          <w:p w:rsidR="00D02866" w:rsidRDefault="00D02866">
            <w:pPr>
              <w:pStyle w:val="ConsPlusNormal"/>
            </w:pPr>
          </w:p>
        </w:tc>
      </w:tr>
      <w:tr w:rsidR="00D02866">
        <w:tblPrEx>
          <w:tblBorders>
            <w:insideH w:val="nil"/>
          </w:tblBorders>
        </w:tblPrEx>
        <w:tc>
          <w:tcPr>
            <w:tcW w:w="2891" w:type="dxa"/>
            <w:vMerge/>
            <w:tcBorders>
              <w:top w:val="nil"/>
            </w:tcBorders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Избегать включения в толщину миокарда ПЖ-трабекул.</w:t>
            </w:r>
          </w:p>
        </w:tc>
      </w:tr>
      <w:tr w:rsidR="00D02866">
        <w:tc>
          <w:tcPr>
            <w:tcW w:w="2891" w:type="dxa"/>
            <w:vMerge/>
            <w:tcBorders>
              <w:top w:val="nil"/>
            </w:tcBorders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Критичные показатели: максимальная толщина стенки ЛЖ (стратификация риска ВСС) и толщина стенки в месте митрально-септального контакта (выбор СМЭ-САА).</w:t>
            </w:r>
          </w:p>
        </w:tc>
      </w:tr>
      <w:tr w:rsidR="00D02866">
        <w:tc>
          <w:tcPr>
            <w:tcW w:w="2891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Тип гипертрофии ЛЖ</w:t>
            </w:r>
          </w:p>
        </w:tc>
        <w:tc>
          <w:tcPr>
            <w:tcW w:w="6179" w:type="dxa"/>
            <w:vMerge w:val="restart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Асимметричная, симметричная, апикальная, срединно-желудочковая, другие отделы ЛЖ.</w:t>
            </w:r>
          </w:p>
        </w:tc>
      </w:tr>
      <w:tr w:rsidR="00D02866">
        <w:tblPrEx>
          <w:tblBorders>
            <w:insideH w:val="nil"/>
          </w:tblBorders>
        </w:tblPrEx>
        <w:trPr>
          <w:trHeight w:val="269"/>
        </w:trPr>
        <w:tc>
          <w:tcPr>
            <w:tcW w:w="2891" w:type="dxa"/>
            <w:vMerge w:val="restart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Паттерн морфологии МЖП</w:t>
            </w:r>
          </w:p>
        </w:tc>
        <w:tc>
          <w:tcPr>
            <w:tcW w:w="6179" w:type="dxa"/>
            <w:vMerge/>
            <w:tcBorders>
              <w:bottom w:val="nil"/>
            </w:tcBorders>
          </w:tcPr>
          <w:p w:rsidR="00D02866" w:rsidRDefault="00D02866">
            <w:pPr>
              <w:pStyle w:val="ConsPlusNormal"/>
            </w:pPr>
          </w:p>
        </w:tc>
      </w:tr>
      <w:tr w:rsidR="00D02866">
        <w:tc>
          <w:tcPr>
            <w:tcW w:w="2891" w:type="dxa"/>
            <w:vMerge/>
            <w:tcBorders>
              <w:top w:val="nil"/>
            </w:tcBorders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Морфоогия МЖП: двояковыпуклая, сигмовидная, гипертрофия всей МЖП.</w:t>
            </w:r>
          </w:p>
        </w:tc>
      </w:tr>
      <w:tr w:rsidR="00D02866">
        <w:tc>
          <w:tcPr>
            <w:tcW w:w="2891" w:type="dxa"/>
          </w:tcPr>
          <w:p w:rsidR="00D02866" w:rsidRDefault="00D02866">
            <w:pPr>
              <w:pStyle w:val="ConsPlusNormal"/>
              <w:jc w:val="both"/>
            </w:pPr>
            <w:r>
              <w:t>Толщина миокарда ПЖ</w:t>
            </w:r>
          </w:p>
        </w:tc>
        <w:tc>
          <w:tcPr>
            <w:tcW w:w="6179" w:type="dxa"/>
          </w:tcPr>
          <w:p w:rsidR="00D02866" w:rsidRDefault="00D02866">
            <w:pPr>
              <w:pStyle w:val="ConsPlusNormal"/>
              <w:jc w:val="both"/>
            </w:pPr>
            <w:r>
              <w:t>Оценивают в базальных, срединных и апикальных сегментах (нормальные размеры &lt; 5 мм в изображении парастернальном по длинной оси на уровне хорд трикуспидального клапана). Избегать включения эпикардиального жира в измерение миокарда ПЖ.</w:t>
            </w:r>
          </w:p>
        </w:tc>
      </w:tr>
      <w:tr w:rsidR="00D02866">
        <w:tc>
          <w:tcPr>
            <w:tcW w:w="289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Текстура миокарда ЛЖ</w:t>
            </w:r>
          </w:p>
        </w:tc>
        <w:tc>
          <w:tcPr>
            <w:tcW w:w="617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"Блестящий", гранулярность (для исключения фенокопий ГКМП).</w:t>
            </w:r>
          </w:p>
        </w:tc>
      </w:tr>
      <w:tr w:rsidR="00D02866"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Наличие крипт миокарда (при МРТ более точная диагностика).</w:t>
            </w:r>
          </w:p>
        </w:tc>
      </w:tr>
      <w:tr w:rsidR="00D02866">
        <w:tc>
          <w:tcPr>
            <w:tcW w:w="289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Исследование размеров и объемов ЛЖ</w:t>
            </w:r>
          </w:p>
        </w:tc>
        <w:tc>
          <w:tcPr>
            <w:tcW w:w="617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КДР &lt;*&gt;, КСР, КДО и КСО</w:t>
            </w:r>
          </w:p>
        </w:tc>
      </w:tr>
      <w:tr w:rsidR="00D02866"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&lt;*&gt; Примечание: при S-образной МЖП КДР следует измерять в 2 вариантах - на уровне базальных сегментов ЛЖ и ближе к срединным сегментам, где он максимален (см. рекомендации ASE 2019)</w:t>
            </w:r>
          </w:p>
        </w:tc>
      </w:tr>
      <w:tr w:rsidR="00D02866">
        <w:tc>
          <w:tcPr>
            <w:tcW w:w="2891" w:type="dxa"/>
          </w:tcPr>
          <w:p w:rsidR="00D02866" w:rsidRDefault="00D02866">
            <w:pPr>
              <w:pStyle w:val="ConsPlusNormal"/>
              <w:jc w:val="both"/>
            </w:pPr>
            <w:r>
              <w:t>Исследование размеров ПЖ</w:t>
            </w:r>
          </w:p>
        </w:tc>
        <w:tc>
          <w:tcPr>
            <w:tcW w:w="6179" w:type="dxa"/>
          </w:tcPr>
          <w:p w:rsidR="00D02866" w:rsidRDefault="00D02866">
            <w:pPr>
              <w:pStyle w:val="ConsPlusNormal"/>
              <w:jc w:val="both"/>
            </w:pPr>
            <w:r>
              <w:t>В парастернальной и апикальной позиции</w:t>
            </w:r>
          </w:p>
        </w:tc>
      </w:tr>
      <w:tr w:rsidR="00D02866">
        <w:tc>
          <w:tcPr>
            <w:tcW w:w="2891" w:type="dxa"/>
          </w:tcPr>
          <w:p w:rsidR="00D02866" w:rsidRDefault="00D02866">
            <w:pPr>
              <w:pStyle w:val="ConsPlusNormal"/>
              <w:jc w:val="both"/>
            </w:pPr>
            <w:r>
              <w:t xml:space="preserve">Исследование размеров и </w:t>
            </w:r>
            <w:r>
              <w:lastRenderedPageBreak/>
              <w:t>объемов ЛП и ПП</w:t>
            </w:r>
          </w:p>
        </w:tc>
        <w:tc>
          <w:tcPr>
            <w:tcW w:w="6179" w:type="dxa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 xml:space="preserve">Увеличение ЛП относится к дополнительным факторам риска </w:t>
            </w:r>
            <w:r>
              <w:lastRenderedPageBreak/>
              <w:t>ВСС</w:t>
            </w:r>
          </w:p>
        </w:tc>
      </w:tr>
      <w:tr w:rsidR="00D02866">
        <w:tc>
          <w:tcPr>
            <w:tcW w:w="2891" w:type="dxa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Оценка толщины межпредсердной перегородки</w:t>
            </w:r>
          </w:p>
        </w:tc>
        <w:tc>
          <w:tcPr>
            <w:tcW w:w="6179" w:type="dxa"/>
          </w:tcPr>
          <w:p w:rsidR="00D02866" w:rsidRDefault="00D02866">
            <w:pPr>
              <w:pStyle w:val="ConsPlusNormal"/>
              <w:jc w:val="both"/>
            </w:pPr>
            <w:r>
              <w:t>Для исключения фенокопий ГКМП (амилоидоз)</w:t>
            </w:r>
          </w:p>
        </w:tc>
      </w:tr>
      <w:tr w:rsidR="00D02866">
        <w:tc>
          <w:tcPr>
            <w:tcW w:w="2891" w:type="dxa"/>
          </w:tcPr>
          <w:p w:rsidR="00D02866" w:rsidRDefault="00D02866">
            <w:pPr>
              <w:pStyle w:val="ConsPlusNormal"/>
              <w:jc w:val="both"/>
            </w:pPr>
            <w:r>
              <w:t>Визуальная оценка кинетики миокарда ЛЖ и ПЖ</w:t>
            </w:r>
          </w:p>
        </w:tc>
        <w:tc>
          <w:tcPr>
            <w:tcW w:w="6179" w:type="dxa"/>
          </w:tcPr>
          <w:p w:rsidR="00D02866" w:rsidRDefault="00D02866">
            <w:pPr>
              <w:pStyle w:val="ConsPlusNormal"/>
              <w:jc w:val="both"/>
            </w:pPr>
            <w:r>
              <w:t>Выявление зон ишемии/перенесенного ИМ</w:t>
            </w:r>
          </w:p>
        </w:tc>
      </w:tr>
      <w:tr w:rsidR="00D02866">
        <w:tc>
          <w:tcPr>
            <w:tcW w:w="289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Визуальная оценка клапанов (МК, АК, ТК, ПК)</w:t>
            </w:r>
          </w:p>
        </w:tc>
        <w:tc>
          <w:tcPr>
            <w:tcW w:w="617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Особое внимание - МК: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наличие передне-систолического движения створок МК, наличие митрально-септального контакта (важная характеристика ГКМП, но также может наблюдаться не при ГКМП у пациентов с маленьким ЛЖ независимо от наличия ГЛЖ, при гиповолемии, после кардиоторакальных хирургических вмешательств)</w:t>
            </w:r>
          </w:p>
        </w:tc>
      </w:tr>
      <w:tr w:rsidR="00D02866"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есть ли удлинение (избыточность) створок МК, наличие и степень пролабирования створок МК.</w:t>
            </w:r>
          </w:p>
        </w:tc>
      </w:tr>
      <w:tr w:rsidR="00D02866">
        <w:tc>
          <w:tcPr>
            <w:tcW w:w="2891" w:type="dxa"/>
          </w:tcPr>
          <w:p w:rsidR="00D02866" w:rsidRDefault="00D02866">
            <w:pPr>
              <w:pStyle w:val="ConsPlusNormal"/>
              <w:jc w:val="both"/>
            </w:pPr>
            <w:r>
              <w:t>Папиллярные мышцы</w:t>
            </w:r>
          </w:p>
        </w:tc>
        <w:tc>
          <w:tcPr>
            <w:tcW w:w="6179" w:type="dxa"/>
          </w:tcPr>
          <w:p w:rsidR="00D02866" w:rsidRDefault="00D02866">
            <w:pPr>
              <w:pStyle w:val="ConsPlusNormal"/>
              <w:jc w:val="both"/>
            </w:pPr>
            <w:r>
              <w:t>Количество, есть ли дислокация</w:t>
            </w:r>
          </w:p>
        </w:tc>
      </w:tr>
      <w:tr w:rsidR="00D02866">
        <w:tc>
          <w:tcPr>
            <w:tcW w:w="289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Наличие и степень обструкции ВТЛЖ или срединно-желудочковой обструкции</w:t>
            </w:r>
          </w:p>
        </w:tc>
        <w:tc>
          <w:tcPr>
            <w:tcW w:w="617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Регистрация кровотока через АК/ВТЛЖ - паттерн допплеровского спектра и величина ГД в ВТЛЖ.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 xml:space="preserve">- Следует использовать следующие формулы для расчета ГД в ВТЛЖ: уравнение Бернули </w:t>
            </w:r>
            <w:r>
              <w:rPr>
                <w:noProof/>
                <w:position w:val="-3"/>
              </w:rPr>
              <w:drawing>
                <wp:inline distT="0" distB="0" distL="0" distR="0">
                  <wp:extent cx="157480" cy="178435"/>
                  <wp:effectExtent l="0" t="0" r="0" b="0"/>
                  <wp:docPr id="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" cy="17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p = 4 x V max</w:t>
            </w:r>
            <w:r>
              <w:rPr>
                <w:vertAlign w:val="superscript"/>
              </w:rPr>
              <w:t>2</w:t>
            </w:r>
            <w:r>
              <w:t>, если можно точно измерить скорость кровотока в пути оттока ЛЖ; формула клиники Мейо "</w:t>
            </w:r>
            <w:r>
              <w:rPr>
                <w:noProof/>
                <w:position w:val="-3"/>
              </w:rPr>
              <w:drawing>
                <wp:inline distT="0" distB="0" distL="0" distR="0">
                  <wp:extent cx="157480" cy="178435"/>
                  <wp:effectExtent l="0" t="0" r="0" b="0"/>
                  <wp:docPr id="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" cy="17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p = [(4 x V max МР</w:t>
            </w:r>
            <w:r>
              <w:rPr>
                <w:vertAlign w:val="superscript"/>
              </w:rPr>
              <w:t>2</w:t>
            </w:r>
            <w:r>
              <w:t>) + pЛП] - системное систолическое АД", если наличие выраженной митральной регургитации не позволяет точно измерить скорость кровотока в пути оттока ЛЖ (pЛП - давление в левом предсердии, используется константа - 20 мм рт. ст.)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Необходимо убедиться, что регистрируется только кровоток в ВТЛЖ и не "захватывается" ток митральной регургитации.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Если в покое ГД в ВТЛЖ &lt; 30 мм рт. ст., следует провести провокационную пробу Вальсальвы.</w:t>
            </w:r>
          </w:p>
        </w:tc>
      </w:tr>
      <w:tr w:rsidR="00D02866"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У некоторых пациентов величина ГД в ВТЛЖ больше в положении сидя и стоя, чем лежа, поэтому необходимо измерение ГД и в положении пациента сидя и стоя.</w:t>
            </w:r>
          </w:p>
        </w:tc>
      </w:tr>
      <w:tr w:rsidR="00D02866">
        <w:tc>
          <w:tcPr>
            <w:tcW w:w="2891" w:type="dxa"/>
          </w:tcPr>
          <w:p w:rsidR="00D02866" w:rsidRDefault="00D02866">
            <w:pPr>
              <w:pStyle w:val="ConsPlusNormal"/>
              <w:jc w:val="both"/>
            </w:pPr>
            <w:r>
              <w:t>Есть ли обструкция выходного тракта ПЖ</w:t>
            </w:r>
          </w:p>
        </w:tc>
        <w:tc>
          <w:tcPr>
            <w:tcW w:w="6179" w:type="dxa"/>
          </w:tcPr>
          <w:p w:rsidR="00D02866" w:rsidRDefault="00D02866">
            <w:pPr>
              <w:pStyle w:val="ConsPlusNormal"/>
              <w:jc w:val="both"/>
            </w:pPr>
            <w:r>
              <w:t>Регистрация скорости кровотока в ВТПЖ и на уровне срединных сегментов ПЖ</w:t>
            </w:r>
          </w:p>
        </w:tc>
      </w:tr>
      <w:tr w:rsidR="00D02866">
        <w:tc>
          <w:tcPr>
            <w:tcW w:w="289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Оценка клапанной регургитации, особенно МР</w:t>
            </w:r>
          </w:p>
        </w:tc>
        <w:tc>
          <w:tcPr>
            <w:tcW w:w="617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При МР, обусловленной ПСД МК, ток, как правило, направлен латерально и кзади, а степень МР пропорциональна выраженности ПСД и митрально-септальному контакту.</w:t>
            </w:r>
          </w:p>
        </w:tc>
      </w:tr>
      <w:tr w:rsidR="00D02866"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Если направление тока МР атипично или не пропорциональна ПСД, возможна самостоятельная патология МК; это критично для выбора хирургического или эндоваскулярного метода лечения.</w:t>
            </w:r>
          </w:p>
        </w:tc>
      </w:tr>
      <w:tr w:rsidR="00D02866">
        <w:tc>
          <w:tcPr>
            <w:tcW w:w="289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Исследование систолической функции ЛЖ и ПЖ</w:t>
            </w:r>
          </w:p>
        </w:tc>
        <w:tc>
          <w:tcPr>
            <w:tcW w:w="617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ФВ ЛЖ часто сверхнормальна, особенно при маленьком ЛЖ, что может не корректно отражать сократимость кардиомиоцитов. Более точны продольный 2D-strain и тканевая допплерография (s'&lt; 4 см/с - предиктор развития ХСН и плохого прогноза).</w:t>
            </w:r>
          </w:p>
        </w:tc>
      </w:tr>
      <w:tr w:rsidR="00D02866"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Для ПЖ: TAPSE, 2D-strain стенки ПЖ.</w:t>
            </w:r>
          </w:p>
        </w:tc>
      </w:tr>
      <w:tr w:rsidR="00D02866">
        <w:tc>
          <w:tcPr>
            <w:tcW w:w="2891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Исследование диастолической функции ЛЖ</w:t>
            </w:r>
          </w:p>
        </w:tc>
        <w:tc>
          <w:tcPr>
            <w:tcW w:w="617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Согласно рекомендациям ASE и EACVI (2016) при ГКМП следует оценивать степень диастолической дисфункции. Ключевой параметр диастолической дисфункции ЛЖ - давление наполнения ЛЖ (КДД ЛЖ). Его неинвазивная оценка многофакторна. По рекомендациям ASE и EACVI (2016) при ГКМП вывод о повышении КДД ЛЖ следует, если:</w:t>
            </w:r>
          </w:p>
          <w:p w:rsidR="00D02866" w:rsidRDefault="00D02866">
            <w:pPr>
              <w:pStyle w:val="ConsPlusNormal"/>
              <w:jc w:val="both"/>
            </w:pPr>
            <w:r>
              <w:t>1. ср. E/e'&gt; 14 см/с,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 xml:space="preserve">2. разница длительности реверсивной волны A в легочных венах и волны A трансмитрального кровотока (Ar - A)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30 мс,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 xml:space="preserve">3. индекс объема ЛП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6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34 мл мл/м</w:t>
            </w:r>
            <w:r>
              <w:rPr>
                <w:vertAlign w:val="superscript"/>
              </w:rPr>
              <w:t>2</w:t>
            </w:r>
            <w:r>
              <w:t>,</w:t>
            </w:r>
          </w:p>
        </w:tc>
      </w:tr>
      <w:tr w:rsidR="00D02866">
        <w:tc>
          <w:tcPr>
            <w:tcW w:w="2891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17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4. пиковая скорость трикуспидальной регургитации &gt; 2,8 м/с (СДЛА &gt; 35 - 40 мм рт. ст.)</w:t>
            </w:r>
          </w:p>
          <w:p w:rsidR="00D02866" w:rsidRDefault="00D02866">
            <w:pPr>
              <w:pStyle w:val="ConsPlusNormal"/>
              <w:jc w:val="both"/>
            </w:pPr>
            <w:r>
              <w:t>Более подробно об алгоритмах оценки диастолической дисфункции в разных клинических ситуациях - см. рекомендации ASE/EACVI (2016) по исследованию диастолической функции ЛЖ.</w:t>
            </w:r>
          </w:p>
        </w:tc>
      </w:tr>
      <w:tr w:rsidR="00D02866">
        <w:tc>
          <w:tcPr>
            <w:tcW w:w="2891" w:type="dxa"/>
          </w:tcPr>
          <w:p w:rsidR="00D02866" w:rsidRDefault="00D02866">
            <w:pPr>
              <w:pStyle w:val="ConsPlusNormal"/>
              <w:jc w:val="both"/>
            </w:pPr>
            <w:r>
              <w:t>Оценка продольной деформации ЛЖ (2D-strain)</w:t>
            </w:r>
          </w:p>
        </w:tc>
        <w:tc>
          <w:tcPr>
            <w:tcW w:w="6179" w:type="dxa"/>
          </w:tcPr>
          <w:p w:rsidR="00D02866" w:rsidRDefault="00D02866">
            <w:pPr>
              <w:pStyle w:val="ConsPlusNormal"/>
              <w:jc w:val="both"/>
            </w:pPr>
            <w:r>
              <w:t>С построением сегментарной схемы-мишени ЛЖ (bull"s eye). Паттерны 2D-strain различны при ГКМП и фенокопиях ГКМП.</w:t>
            </w:r>
          </w:p>
        </w:tc>
      </w:tr>
      <w:tr w:rsidR="00D02866">
        <w:tc>
          <w:tcPr>
            <w:tcW w:w="2891" w:type="dxa"/>
          </w:tcPr>
          <w:p w:rsidR="00D02866" w:rsidRDefault="00D02866">
            <w:pPr>
              <w:pStyle w:val="ConsPlusNormal"/>
              <w:jc w:val="both"/>
            </w:pPr>
            <w:r>
              <w:t>Оценка наличия жидкости в полости перикарда</w:t>
            </w:r>
          </w:p>
        </w:tc>
        <w:tc>
          <w:tcPr>
            <w:tcW w:w="6179" w:type="dxa"/>
          </w:tcPr>
          <w:p w:rsidR="00D02866" w:rsidRDefault="00D02866">
            <w:pPr>
              <w:pStyle w:val="ConsPlusNormal"/>
              <w:jc w:val="both"/>
            </w:pPr>
            <w:r>
              <w:t>Исключение фенокопий ГКМП (характерно для кардиального амилоидоза).</w:t>
            </w:r>
          </w:p>
        </w:tc>
      </w:tr>
      <w:tr w:rsidR="00D02866">
        <w:tc>
          <w:tcPr>
            <w:tcW w:w="2891" w:type="dxa"/>
          </w:tcPr>
          <w:p w:rsidR="00D02866" w:rsidRDefault="00D02866">
            <w:pPr>
              <w:pStyle w:val="ConsPlusNormal"/>
              <w:jc w:val="both"/>
            </w:pPr>
            <w:r>
              <w:t>Оценка диаметра и степени коллабирования нижней полой вены</w:t>
            </w:r>
          </w:p>
        </w:tc>
        <w:tc>
          <w:tcPr>
            <w:tcW w:w="6179" w:type="dxa"/>
          </w:tcPr>
          <w:p w:rsidR="00D02866" w:rsidRDefault="00D02866">
            <w:pPr>
              <w:pStyle w:val="ConsPlusNormal"/>
              <w:jc w:val="both"/>
            </w:pPr>
            <w:r>
              <w:t>Необходима для расчета СДЛА.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14" w:name="P2063"/>
      <w:bookmarkEnd w:id="414"/>
      <w:r>
        <w:t>Таблица П4/Г1. Дополнительные опции при ЭХОКГ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55"/>
        <w:gridCol w:w="5215"/>
      </w:tblGrid>
      <w:tr w:rsidR="00D02866">
        <w:tc>
          <w:tcPr>
            <w:tcW w:w="3855" w:type="dxa"/>
          </w:tcPr>
          <w:p w:rsidR="00D02866" w:rsidRDefault="00D02866">
            <w:pPr>
              <w:pStyle w:val="ConsPlusNormal"/>
              <w:jc w:val="center"/>
            </w:pPr>
            <w:r>
              <w:t>Опция</w:t>
            </w:r>
          </w:p>
        </w:tc>
        <w:tc>
          <w:tcPr>
            <w:tcW w:w="5215" w:type="dxa"/>
          </w:tcPr>
          <w:p w:rsidR="00D02866" w:rsidRDefault="00D02866">
            <w:pPr>
              <w:pStyle w:val="ConsPlusNormal"/>
              <w:jc w:val="center"/>
            </w:pPr>
            <w:r>
              <w:t>Цель использования</w:t>
            </w:r>
          </w:p>
        </w:tc>
      </w:tr>
      <w:tr w:rsidR="00D02866">
        <w:tc>
          <w:tcPr>
            <w:tcW w:w="3855" w:type="dxa"/>
          </w:tcPr>
          <w:p w:rsidR="00D02866" w:rsidRDefault="00D02866">
            <w:pPr>
              <w:pStyle w:val="ConsPlusNormal"/>
              <w:jc w:val="both"/>
            </w:pPr>
            <w:r>
              <w:t>Оценка продольной деформации ЛЖ (2D-strain)</w:t>
            </w:r>
          </w:p>
        </w:tc>
        <w:tc>
          <w:tcPr>
            <w:tcW w:w="5215" w:type="dxa"/>
          </w:tcPr>
          <w:p w:rsidR="00D02866" w:rsidRDefault="00D02866">
            <w:pPr>
              <w:pStyle w:val="ConsPlusNormal"/>
              <w:jc w:val="both"/>
            </w:pPr>
            <w:r>
              <w:t>С построением сегментарной схемы-мишени ЛЖ (bull"s eye). Паттерны 2D-strain различны при ГКМП и фенокопиях ГКМП</w:t>
            </w:r>
          </w:p>
        </w:tc>
      </w:tr>
      <w:tr w:rsidR="00D02866">
        <w:tc>
          <w:tcPr>
            <w:tcW w:w="3855" w:type="dxa"/>
          </w:tcPr>
          <w:p w:rsidR="00D02866" w:rsidRDefault="00D02866">
            <w:pPr>
              <w:pStyle w:val="ConsPlusNormal"/>
              <w:jc w:val="both"/>
            </w:pPr>
            <w:r>
              <w:t>3-D реконструкция</w:t>
            </w:r>
          </w:p>
        </w:tc>
        <w:tc>
          <w:tcPr>
            <w:tcW w:w="5215" w:type="dxa"/>
          </w:tcPr>
          <w:p w:rsidR="00D02866" w:rsidRDefault="00D02866">
            <w:pPr>
              <w:pStyle w:val="ConsPlusNormal"/>
              <w:jc w:val="both"/>
            </w:pPr>
            <w:r>
              <w:t>Оценка морфологии МК для выбора хирургической тактики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15" w:name="P2072"/>
      <w:bookmarkEnd w:id="415"/>
      <w:r>
        <w:t xml:space="preserve">Таблица П5/Г1. Эхокардиографические особенности, позволяющие предположить диагноз фенокопии ГКМП (адаптировано из </w:t>
      </w:r>
      <w:hyperlink w:anchor="P1038">
        <w:r>
          <w:rPr>
            <w:color w:val="0000FF"/>
          </w:rPr>
          <w:t>[4]</w:t>
        </w:r>
      </w:hyperlink>
      <w:r>
        <w:t>)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25"/>
        <w:gridCol w:w="5045"/>
      </w:tblGrid>
      <w:tr w:rsidR="00D02866">
        <w:tc>
          <w:tcPr>
            <w:tcW w:w="4025" w:type="dxa"/>
          </w:tcPr>
          <w:p w:rsidR="00D02866" w:rsidRDefault="00D02866">
            <w:pPr>
              <w:pStyle w:val="ConsPlusNormal"/>
              <w:jc w:val="center"/>
            </w:pPr>
            <w:r>
              <w:t>Особенности</w:t>
            </w:r>
          </w:p>
        </w:tc>
        <w:tc>
          <w:tcPr>
            <w:tcW w:w="5045" w:type="dxa"/>
          </w:tcPr>
          <w:p w:rsidR="00D02866" w:rsidRDefault="00D02866">
            <w:pPr>
              <w:pStyle w:val="ConsPlusNormal"/>
              <w:jc w:val="center"/>
            </w:pPr>
            <w:r>
              <w:t>Комментарий</w:t>
            </w:r>
          </w:p>
        </w:tc>
      </w:tr>
      <w:tr w:rsidR="00D02866">
        <w:tc>
          <w:tcPr>
            <w:tcW w:w="4025" w:type="dxa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Утолщение межпредсердной перегородки</w:t>
            </w:r>
          </w:p>
        </w:tc>
        <w:tc>
          <w:tcPr>
            <w:tcW w:w="5045" w:type="dxa"/>
          </w:tcPr>
          <w:p w:rsidR="00D02866" w:rsidRDefault="00D02866">
            <w:pPr>
              <w:pStyle w:val="ConsPlusNormal"/>
              <w:jc w:val="both"/>
            </w:pPr>
            <w:r>
              <w:t>Амилоидоз</w:t>
            </w:r>
          </w:p>
        </w:tc>
      </w:tr>
      <w:tr w:rsidR="00D02866">
        <w:tc>
          <w:tcPr>
            <w:tcW w:w="4025" w:type="dxa"/>
          </w:tcPr>
          <w:p w:rsidR="00D02866" w:rsidRDefault="00D02866">
            <w:pPr>
              <w:pStyle w:val="ConsPlusNormal"/>
              <w:jc w:val="both"/>
            </w:pPr>
            <w:r>
              <w:t>Утолщение створок МК</w:t>
            </w:r>
          </w:p>
        </w:tc>
        <w:tc>
          <w:tcPr>
            <w:tcW w:w="5045" w:type="dxa"/>
          </w:tcPr>
          <w:p w:rsidR="00D02866" w:rsidRDefault="00D02866">
            <w:pPr>
              <w:pStyle w:val="ConsPlusNormal"/>
              <w:jc w:val="both"/>
            </w:pPr>
            <w:r>
              <w:t>Амилоидоз, болезнь Андерсона-Фабри</w:t>
            </w:r>
          </w:p>
        </w:tc>
      </w:tr>
      <w:tr w:rsidR="00D02866">
        <w:tc>
          <w:tcPr>
            <w:tcW w:w="4025" w:type="dxa"/>
          </w:tcPr>
          <w:p w:rsidR="00D02866" w:rsidRDefault="00D02866">
            <w:pPr>
              <w:pStyle w:val="ConsPlusNormal"/>
              <w:jc w:val="both"/>
            </w:pPr>
            <w:r>
              <w:t>Гипертрофия свободной стенки ПЖ</w:t>
            </w:r>
          </w:p>
        </w:tc>
        <w:tc>
          <w:tcPr>
            <w:tcW w:w="5045" w:type="dxa"/>
          </w:tcPr>
          <w:p w:rsidR="00D02866" w:rsidRDefault="00D02866">
            <w:pPr>
              <w:pStyle w:val="ConsPlusNormal"/>
              <w:jc w:val="both"/>
            </w:pPr>
            <w:r>
              <w:t>Амилоидоз, миокардит, болезнь Андерсона-Фабри, синдром Нунан</w:t>
            </w:r>
          </w:p>
        </w:tc>
      </w:tr>
      <w:tr w:rsidR="00D02866">
        <w:tc>
          <w:tcPr>
            <w:tcW w:w="4025" w:type="dxa"/>
          </w:tcPr>
          <w:p w:rsidR="00D02866" w:rsidRDefault="00D02866">
            <w:pPr>
              <w:pStyle w:val="ConsPlusNormal"/>
              <w:jc w:val="both"/>
            </w:pPr>
            <w:r>
              <w:t>Перикардиальный выпот</w:t>
            </w:r>
          </w:p>
        </w:tc>
        <w:tc>
          <w:tcPr>
            <w:tcW w:w="5045" w:type="dxa"/>
          </w:tcPr>
          <w:p w:rsidR="00D02866" w:rsidRDefault="00D02866">
            <w:pPr>
              <w:pStyle w:val="ConsPlusNormal"/>
              <w:jc w:val="both"/>
            </w:pPr>
            <w:r>
              <w:t>Амилоидоз, миокардит</w:t>
            </w:r>
          </w:p>
        </w:tc>
      </w:tr>
      <w:tr w:rsidR="00D02866">
        <w:tc>
          <w:tcPr>
            <w:tcW w:w="4025" w:type="dxa"/>
          </w:tcPr>
          <w:p w:rsidR="00D02866" w:rsidRDefault="00D02866">
            <w:pPr>
              <w:pStyle w:val="ConsPlusNormal"/>
              <w:jc w:val="both"/>
            </w:pPr>
            <w:r>
              <w:t>Увеличение эхогенности миокарда ЛЖ</w:t>
            </w:r>
          </w:p>
        </w:tc>
        <w:tc>
          <w:tcPr>
            <w:tcW w:w="5045" w:type="dxa"/>
          </w:tcPr>
          <w:p w:rsidR="00D02866" w:rsidRDefault="00D02866">
            <w:pPr>
              <w:pStyle w:val="ConsPlusNormal"/>
              <w:jc w:val="both"/>
            </w:pPr>
            <w:r>
              <w:t>Амилоидоз</w:t>
            </w:r>
          </w:p>
        </w:tc>
      </w:tr>
      <w:tr w:rsidR="00D02866">
        <w:tc>
          <w:tcPr>
            <w:tcW w:w="4025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Концентрическая ГЛЖ</w:t>
            </w:r>
          </w:p>
        </w:tc>
        <w:tc>
          <w:tcPr>
            <w:tcW w:w="5045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Митохондриальные болезни,</w:t>
            </w:r>
          </w:p>
        </w:tc>
      </w:tr>
      <w:tr w:rsidR="00D02866">
        <w:tc>
          <w:tcPr>
            <w:tcW w:w="4025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5045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амилоидоз, болезнь Андерсона-Фабри, мутации в гене PRKAG2</w:t>
            </w:r>
          </w:p>
        </w:tc>
      </w:tr>
      <w:tr w:rsidR="00D02866">
        <w:tc>
          <w:tcPr>
            <w:tcW w:w="4025" w:type="dxa"/>
          </w:tcPr>
          <w:p w:rsidR="00D02866" w:rsidRDefault="00D02866">
            <w:pPr>
              <w:pStyle w:val="ConsPlusNormal"/>
              <w:jc w:val="both"/>
            </w:pPr>
            <w:r>
              <w:t xml:space="preserve">Экстремальная концентрическая ГЛЖ (толщина стенок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30 мм)</w:t>
            </w:r>
          </w:p>
        </w:tc>
        <w:tc>
          <w:tcPr>
            <w:tcW w:w="5045" w:type="dxa"/>
          </w:tcPr>
          <w:p w:rsidR="00D02866" w:rsidRDefault="00D02866">
            <w:pPr>
              <w:pStyle w:val="ConsPlusNormal"/>
              <w:jc w:val="both"/>
            </w:pPr>
            <w:r>
              <w:t>Болезнь Данона, болезнь Помпе</w:t>
            </w:r>
          </w:p>
        </w:tc>
      </w:tr>
      <w:tr w:rsidR="00D02866">
        <w:tc>
          <w:tcPr>
            <w:tcW w:w="4025" w:type="dxa"/>
          </w:tcPr>
          <w:p w:rsidR="00D02866" w:rsidRDefault="00D02866">
            <w:pPr>
              <w:pStyle w:val="ConsPlusNormal"/>
              <w:jc w:val="both"/>
            </w:pPr>
            <w:r>
              <w:t>Глобальная гипокинезия ЛЖ</w:t>
            </w:r>
          </w:p>
          <w:p w:rsidR="00D02866" w:rsidRDefault="00D02866">
            <w:pPr>
              <w:pStyle w:val="ConsPlusNormal"/>
              <w:jc w:val="both"/>
            </w:pPr>
            <w:r>
              <w:t>(с наличием или отсутствием</w:t>
            </w:r>
          </w:p>
          <w:p w:rsidR="00D02866" w:rsidRDefault="00D02866">
            <w:pPr>
              <w:pStyle w:val="ConsPlusNormal"/>
              <w:jc w:val="both"/>
            </w:pPr>
            <w:r>
              <w:t>дилатации ЛЖ)</w:t>
            </w:r>
          </w:p>
        </w:tc>
        <w:tc>
          <w:tcPr>
            <w:tcW w:w="5045" w:type="dxa"/>
          </w:tcPr>
          <w:p w:rsidR="00D02866" w:rsidRDefault="00D02866">
            <w:pPr>
              <w:pStyle w:val="ConsPlusNormal"/>
              <w:jc w:val="both"/>
            </w:pPr>
            <w:r>
              <w:t>Митохондриальные болезни, амилоидоз, мутации в гене PRKAG2, Болезнь Данона, миокардит, поздняя стадия ГКМП, болезнь Андерсона-Фабри</w:t>
            </w:r>
          </w:p>
        </w:tc>
      </w:tr>
      <w:tr w:rsidR="00D02866">
        <w:tc>
          <w:tcPr>
            <w:tcW w:w="4025" w:type="dxa"/>
          </w:tcPr>
          <w:p w:rsidR="00D02866" w:rsidRDefault="00D02866">
            <w:pPr>
              <w:pStyle w:val="ConsPlusNormal"/>
              <w:jc w:val="both"/>
            </w:pPr>
            <w:r>
              <w:t>Обструкция выходного тракта ПЖ</w:t>
            </w:r>
          </w:p>
        </w:tc>
        <w:tc>
          <w:tcPr>
            <w:tcW w:w="5045" w:type="dxa"/>
          </w:tcPr>
          <w:p w:rsidR="00D02866" w:rsidRDefault="00D02866">
            <w:pPr>
              <w:pStyle w:val="ConsPlusNormal"/>
              <w:jc w:val="both"/>
            </w:pPr>
            <w:r>
              <w:t>Синдром Нунан и ассоциированные синдромы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16" w:name="P2098"/>
      <w:bookmarkEnd w:id="416"/>
      <w:r>
        <w:t>Таблица П6/Г1. Параметры, которые необходимо оценить при МРТ сердца у пациента с ГКМП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0"/>
        <w:gridCol w:w="7200"/>
      </w:tblGrid>
      <w:tr w:rsidR="00D02866">
        <w:tc>
          <w:tcPr>
            <w:tcW w:w="1870" w:type="dxa"/>
          </w:tcPr>
          <w:p w:rsidR="00D02866" w:rsidRDefault="00D02866">
            <w:pPr>
              <w:pStyle w:val="ConsPlusNormal"/>
              <w:jc w:val="center"/>
            </w:pPr>
            <w:r>
              <w:t>Структуры</w:t>
            </w:r>
          </w:p>
        </w:tc>
        <w:tc>
          <w:tcPr>
            <w:tcW w:w="7200" w:type="dxa"/>
          </w:tcPr>
          <w:p w:rsidR="00D02866" w:rsidRDefault="00D02866">
            <w:pPr>
              <w:pStyle w:val="ConsPlusNormal"/>
              <w:jc w:val="center"/>
            </w:pPr>
            <w:r>
              <w:t>Параметры</w:t>
            </w:r>
          </w:p>
        </w:tc>
      </w:tr>
      <w:tr w:rsidR="00D02866">
        <w:tc>
          <w:tcPr>
            <w:tcW w:w="1870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ЛЖ</w:t>
            </w:r>
          </w:p>
        </w:tc>
        <w:tc>
          <w:tcPr>
            <w:tcW w:w="7200" w:type="dxa"/>
          </w:tcPr>
          <w:p w:rsidR="00D02866" w:rsidRDefault="00D02866">
            <w:pPr>
              <w:pStyle w:val="ConsPlusNormal"/>
              <w:jc w:val="both"/>
            </w:pPr>
            <w:r>
              <w:t>КДР, КСР, ФВ, масса миокарда</w:t>
            </w:r>
          </w:p>
        </w:tc>
      </w:tr>
      <w:tr w:rsidR="00D02866">
        <w:tc>
          <w:tcPr>
            <w:tcW w:w="1870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200" w:type="dxa"/>
          </w:tcPr>
          <w:p w:rsidR="00D02866" w:rsidRDefault="00D02866">
            <w:pPr>
              <w:pStyle w:val="ConsPlusNormal"/>
              <w:jc w:val="both"/>
            </w:pPr>
            <w:r>
              <w:t>Наличие нарушений сегментарного сокращения миокарда ЛЖ</w:t>
            </w:r>
          </w:p>
        </w:tc>
      </w:tr>
      <w:tr w:rsidR="00D02866">
        <w:tc>
          <w:tcPr>
            <w:tcW w:w="1870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ВТЛЖ</w:t>
            </w:r>
          </w:p>
        </w:tc>
        <w:tc>
          <w:tcPr>
            <w:tcW w:w="7200" w:type="dxa"/>
          </w:tcPr>
          <w:p w:rsidR="00D02866" w:rsidRDefault="00D02866">
            <w:pPr>
              <w:pStyle w:val="ConsPlusNormal"/>
              <w:jc w:val="both"/>
            </w:pPr>
            <w:r>
              <w:t>Анатомические особенности ВТЛЖ, типа и места обструкции в ЛЖ</w:t>
            </w:r>
          </w:p>
        </w:tc>
      </w:tr>
      <w:tr w:rsidR="00D02866">
        <w:tc>
          <w:tcPr>
            <w:tcW w:w="1870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200" w:type="dxa"/>
          </w:tcPr>
          <w:p w:rsidR="00D02866" w:rsidRDefault="00D02866">
            <w:pPr>
              <w:pStyle w:val="ConsPlusNormal"/>
              <w:jc w:val="both"/>
            </w:pPr>
            <w:r>
              <w:t>Величина пиковой скорости/ГД в ВТЛЖ (фазово-контрастная МРТ с кодированием скорости)</w:t>
            </w:r>
          </w:p>
        </w:tc>
      </w:tr>
      <w:tr w:rsidR="00D02866"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ПЖ</w:t>
            </w:r>
          </w:p>
        </w:tc>
        <w:tc>
          <w:tcPr>
            <w:tcW w:w="7200" w:type="dxa"/>
          </w:tcPr>
          <w:p w:rsidR="00D02866" w:rsidRDefault="00D02866">
            <w:pPr>
              <w:pStyle w:val="ConsPlusNormal"/>
              <w:jc w:val="both"/>
            </w:pPr>
            <w:r>
              <w:t>КДР, КСР, ФВ, размеры, наличие обструкции в ВТПЖ</w:t>
            </w:r>
          </w:p>
        </w:tc>
      </w:tr>
      <w:tr w:rsidR="00D02866">
        <w:tc>
          <w:tcPr>
            <w:tcW w:w="1870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Миокард ЛЖ</w:t>
            </w:r>
          </w:p>
        </w:tc>
        <w:tc>
          <w:tcPr>
            <w:tcW w:w="7200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Толщина миокарда левого желудочка в диастолу по короткой оси ЛЖ согласно 17-ти сегментарной модели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1870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200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Локализация/распространенность/количество гипертрофированных сегментов ЛЖ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1870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200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морфологический тип ГКМП (асимметричная, симметричная, апикальная, среднежелудочковая)</w:t>
            </w:r>
          </w:p>
        </w:tc>
      </w:tr>
      <w:tr w:rsidR="00D02866">
        <w:tc>
          <w:tcPr>
            <w:tcW w:w="1870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7200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паттерн морфологии МЖП (двояковыпуклая, сигмовидная, вся МЖП)</w:t>
            </w:r>
          </w:p>
        </w:tc>
      </w:tr>
      <w:tr w:rsidR="00D02866"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Позднее накопление гадолиния</w:t>
            </w:r>
          </w:p>
        </w:tc>
        <w:tc>
          <w:tcPr>
            <w:tcW w:w="7200" w:type="dxa"/>
          </w:tcPr>
          <w:p w:rsidR="00D02866" w:rsidRDefault="00D02866">
            <w:pPr>
              <w:pStyle w:val="ConsPlusNormal"/>
              <w:jc w:val="both"/>
            </w:pPr>
            <w:r>
              <w:t>Наличие, паттерн, распространенность ПНГ в % от общей массы миокарда ЛЖ</w:t>
            </w:r>
          </w:p>
        </w:tc>
      </w:tr>
      <w:tr w:rsidR="00D02866"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МР и ТР</w:t>
            </w:r>
          </w:p>
        </w:tc>
        <w:tc>
          <w:tcPr>
            <w:tcW w:w="7200" w:type="dxa"/>
          </w:tcPr>
          <w:p w:rsidR="00D02866" w:rsidRDefault="00D02866">
            <w:pPr>
              <w:pStyle w:val="ConsPlusNormal"/>
              <w:jc w:val="both"/>
            </w:pPr>
            <w:r>
              <w:t>Наличие митральной и трикуспидальной регургитации, степень, фракция регургитации</w:t>
            </w:r>
          </w:p>
        </w:tc>
      </w:tr>
      <w:tr w:rsidR="00D02866"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Аппарат МК (створки, хорды, папиллярные мышцы)</w:t>
            </w:r>
          </w:p>
        </w:tc>
        <w:tc>
          <w:tcPr>
            <w:tcW w:w="7200" w:type="dxa"/>
          </w:tcPr>
          <w:p w:rsidR="00D02866" w:rsidRDefault="00D02866">
            <w:pPr>
              <w:pStyle w:val="ConsPlusNormal"/>
              <w:jc w:val="both"/>
            </w:pPr>
            <w:r>
              <w:t>Строение, описание аномалий (смещение/"расщепление" головок и гипермобильность папиллярных мышц), связь с обструкцией ВТЛЖ и митральной регургитацией</w:t>
            </w:r>
          </w:p>
        </w:tc>
      </w:tr>
      <w:tr w:rsidR="00D02866"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ЛП и ПП</w:t>
            </w:r>
          </w:p>
        </w:tc>
        <w:tc>
          <w:tcPr>
            <w:tcW w:w="7200" w:type="dxa"/>
          </w:tcPr>
          <w:p w:rsidR="00D02866" w:rsidRDefault="00D02866">
            <w:pPr>
              <w:pStyle w:val="ConsPlusNormal"/>
              <w:jc w:val="both"/>
            </w:pPr>
            <w:r>
              <w:t>Размеры</w:t>
            </w:r>
          </w:p>
        </w:tc>
      </w:tr>
      <w:tr w:rsidR="00D02866"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Дополнительные аномалии</w:t>
            </w:r>
          </w:p>
        </w:tc>
        <w:tc>
          <w:tcPr>
            <w:tcW w:w="7200" w:type="dxa"/>
          </w:tcPr>
          <w:p w:rsidR="00D02866" w:rsidRDefault="00D02866">
            <w:pPr>
              <w:pStyle w:val="ConsPlusNormal"/>
              <w:jc w:val="both"/>
            </w:pPr>
            <w:r>
              <w:t>При планировании СМЭ/РМЭ - идентифицирование "крипт" у пациентов с ГКМП с указанием количества и глубины дефектов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17" w:name="P2126"/>
      <w:bookmarkEnd w:id="417"/>
      <w:r>
        <w:t>Таблица П7/Г1. Варианты нагрузочных тестов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1814"/>
        <w:gridCol w:w="4422"/>
      </w:tblGrid>
      <w:tr w:rsidR="00D02866">
        <w:tc>
          <w:tcPr>
            <w:tcW w:w="2834" w:type="dxa"/>
          </w:tcPr>
          <w:p w:rsidR="00D02866" w:rsidRDefault="00D02866">
            <w:pPr>
              <w:pStyle w:val="ConsPlusNormal"/>
              <w:jc w:val="center"/>
            </w:pPr>
            <w:r>
              <w:t>Нагрузочный тест</w:t>
            </w:r>
          </w:p>
        </w:tc>
        <w:tc>
          <w:tcPr>
            <w:tcW w:w="1814" w:type="dxa"/>
          </w:tcPr>
          <w:p w:rsidR="00D02866" w:rsidRDefault="00D02866">
            <w:pPr>
              <w:pStyle w:val="ConsPlusNormal"/>
              <w:jc w:val="center"/>
            </w:pPr>
            <w:r>
              <w:t>Аппаратура для нагрузки</w:t>
            </w:r>
          </w:p>
        </w:tc>
        <w:tc>
          <w:tcPr>
            <w:tcW w:w="4422" w:type="dxa"/>
          </w:tcPr>
          <w:p w:rsidR="00D02866" w:rsidRDefault="00D02866">
            <w:pPr>
              <w:pStyle w:val="ConsPlusNormal"/>
              <w:jc w:val="center"/>
            </w:pPr>
            <w:r>
              <w:t>Показания/цель</w:t>
            </w:r>
          </w:p>
        </w:tc>
      </w:tr>
      <w:tr w:rsidR="00D02866">
        <w:tc>
          <w:tcPr>
            <w:tcW w:w="2834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Нагрузочный тест с регистрацией ЭКГ и АД</w:t>
            </w:r>
          </w:p>
        </w:tc>
        <w:tc>
          <w:tcPr>
            <w:tcW w:w="1814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Тредмил</w:t>
            </w:r>
          </w:p>
        </w:tc>
        <w:tc>
          <w:tcPr>
            <w:tcW w:w="4422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Стратификация риска ВСС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1814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Велоэргометр (реже)</w:t>
            </w:r>
          </w:p>
        </w:tc>
        <w:tc>
          <w:tcPr>
            <w:tcW w:w="4422" w:type="dxa"/>
            <w:vMerge/>
          </w:tcPr>
          <w:p w:rsidR="00D02866" w:rsidRDefault="00D02866">
            <w:pPr>
              <w:pStyle w:val="ConsPlusNormal"/>
            </w:pPr>
          </w:p>
        </w:tc>
      </w:tr>
      <w:tr w:rsidR="00D02866">
        <w:tc>
          <w:tcPr>
            <w:tcW w:w="2834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Стресс-ЭХОКГ</w:t>
            </w:r>
          </w:p>
        </w:tc>
        <w:tc>
          <w:tcPr>
            <w:tcW w:w="1814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Тредмил</w:t>
            </w:r>
          </w:p>
          <w:p w:rsidR="00D02866" w:rsidRDefault="00D02866">
            <w:pPr>
              <w:pStyle w:val="ConsPlusNormal"/>
              <w:jc w:val="both"/>
            </w:pPr>
            <w:r>
              <w:t>"Лежачий" велоэргометр</w:t>
            </w:r>
          </w:p>
        </w:tc>
        <w:tc>
          <w:tcPr>
            <w:tcW w:w="4422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Диагностика латентной обструкции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181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Стратификация риска ВСС (динамика АД и ГД)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181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Индуцируется ли ишемия миокарда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181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422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Оценка эффективности проводимой терапии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181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422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- Планирование диагностических мероприятий у пациентов с болями в области сердца (необходимость КАГ)</w:t>
            </w:r>
          </w:p>
        </w:tc>
      </w:tr>
      <w:tr w:rsidR="00D02866">
        <w:tc>
          <w:tcPr>
            <w:tcW w:w="2834" w:type="dxa"/>
          </w:tcPr>
          <w:p w:rsidR="00D02866" w:rsidRDefault="00D02866">
            <w:pPr>
              <w:pStyle w:val="ConsPlusNormal"/>
              <w:jc w:val="both"/>
            </w:pPr>
            <w:r>
              <w:t>Эргоспирометрия</w:t>
            </w:r>
          </w:p>
        </w:tc>
        <w:tc>
          <w:tcPr>
            <w:tcW w:w="1814" w:type="dxa"/>
          </w:tcPr>
          <w:p w:rsidR="00D02866" w:rsidRDefault="00D02866">
            <w:pPr>
              <w:pStyle w:val="ConsPlusNormal"/>
              <w:jc w:val="both"/>
            </w:pPr>
            <w:r>
              <w:t>Тредмилл</w:t>
            </w:r>
          </w:p>
        </w:tc>
        <w:tc>
          <w:tcPr>
            <w:tcW w:w="4422" w:type="dxa"/>
          </w:tcPr>
          <w:p w:rsidR="00D02866" w:rsidRDefault="00D02866">
            <w:pPr>
              <w:pStyle w:val="ConsPlusNormal"/>
              <w:jc w:val="both"/>
            </w:pPr>
            <w:r>
              <w:t>При планировании трансплантации сердца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18" w:name="P2147"/>
      <w:bookmarkEnd w:id="418"/>
      <w:r>
        <w:t xml:space="preserve">Таблица П8/Г1. Диагностика у родственников пробанда, носителей мутаций генотип(+)/фенотип(-) в догипертрофической стадии (адаптировано из </w:t>
      </w:r>
      <w:hyperlink w:anchor="P1207">
        <w:r>
          <w:rPr>
            <w:color w:val="0000FF"/>
          </w:rPr>
          <w:t>[173]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71"/>
        </w:rPr>
        <w:lastRenderedPageBreak/>
        <w:drawing>
          <wp:inline distT="0" distB="0" distL="0" distR="0">
            <wp:extent cx="4733925" cy="3586480"/>
            <wp:effectExtent l="0" t="0" r="0" b="0"/>
            <wp:docPr id="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358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19" w:name="P2151"/>
      <w:bookmarkEnd w:id="419"/>
      <w:r>
        <w:t>Таблица П9/Г1. Факторы риска развития инфаркта миокарда 2 типа у пациентов с ГКМП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63"/>
        </w:rPr>
        <w:drawing>
          <wp:inline distT="0" distB="0" distL="0" distR="0">
            <wp:extent cx="4745990" cy="3491230"/>
            <wp:effectExtent l="0" t="0" r="0" b="0"/>
            <wp:docPr id="6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990" cy="349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20" w:name="P2155"/>
      <w:bookmarkEnd w:id="420"/>
      <w:r>
        <w:t xml:space="preserve">Таблица П10/Г1. Схема дифференциального диагноза ГКМП и базальной септальной гипертрофии (адаптировано из </w:t>
      </w:r>
      <w:hyperlink w:anchor="P1471">
        <w:r>
          <w:rPr>
            <w:color w:val="0000FF"/>
          </w:rPr>
          <w:t>[437]</w:t>
        </w:r>
      </w:hyperlink>
      <w:r>
        <w:t>)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67"/>
        </w:rPr>
        <w:lastRenderedPageBreak/>
        <w:drawing>
          <wp:inline distT="0" distB="0" distL="0" distR="0">
            <wp:extent cx="4737735" cy="3535045"/>
            <wp:effectExtent l="0" t="0" r="0" b="0"/>
            <wp:docPr id="6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735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21" w:name="P2159"/>
      <w:bookmarkEnd w:id="421"/>
      <w:r>
        <w:t>Таблица П11/Г1. Дифференциальная диагностика ГКМП и спортивной ГЛЖ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63"/>
        </w:rPr>
        <w:drawing>
          <wp:inline distT="0" distB="0" distL="0" distR="0">
            <wp:extent cx="4726940" cy="3491865"/>
            <wp:effectExtent l="0" t="0" r="0" b="0"/>
            <wp:docPr id="7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940" cy="349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22" w:name="P2163"/>
      <w:bookmarkEnd w:id="422"/>
      <w:r>
        <w:t>Таблица П12/Г1. Ограничения в методах диагностики при беременности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64"/>
        <w:gridCol w:w="4365"/>
        <w:gridCol w:w="1020"/>
        <w:gridCol w:w="1020"/>
      </w:tblGrid>
      <w:tr w:rsidR="00D02866">
        <w:tc>
          <w:tcPr>
            <w:tcW w:w="2664" w:type="dxa"/>
          </w:tcPr>
          <w:p w:rsidR="00D02866" w:rsidRDefault="00D02866">
            <w:pPr>
              <w:pStyle w:val="ConsPlusNormal"/>
              <w:jc w:val="center"/>
            </w:pPr>
            <w:r>
              <w:t>Метод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center"/>
            </w:pPr>
            <w:r>
              <w:t>Ограничения</w:t>
            </w:r>
          </w:p>
        </w:tc>
        <w:tc>
          <w:tcPr>
            <w:tcW w:w="1020" w:type="dxa"/>
          </w:tcPr>
          <w:p w:rsidR="00D02866" w:rsidRDefault="00D02866">
            <w:pPr>
              <w:pStyle w:val="ConsPlusNormal"/>
              <w:jc w:val="center"/>
            </w:pPr>
            <w:r>
              <w:t>УУР</w:t>
            </w:r>
          </w:p>
        </w:tc>
        <w:tc>
          <w:tcPr>
            <w:tcW w:w="1020" w:type="dxa"/>
          </w:tcPr>
          <w:p w:rsidR="00D02866" w:rsidRDefault="00D02866">
            <w:pPr>
              <w:pStyle w:val="ConsPlusNormal"/>
              <w:jc w:val="center"/>
            </w:pPr>
            <w:r>
              <w:t>УДД</w:t>
            </w:r>
          </w:p>
        </w:tc>
      </w:tr>
      <w:tr w:rsidR="00D02866">
        <w:tc>
          <w:tcPr>
            <w:tcW w:w="2664" w:type="dxa"/>
          </w:tcPr>
          <w:p w:rsidR="00D02866" w:rsidRDefault="00D02866">
            <w:pPr>
              <w:pStyle w:val="ConsPlusNormal"/>
              <w:jc w:val="both"/>
            </w:pPr>
            <w:r>
              <w:t>ЭКГ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Нет ограничений</w:t>
            </w:r>
          </w:p>
        </w:tc>
        <w:tc>
          <w:tcPr>
            <w:tcW w:w="1020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1020" w:type="dxa"/>
          </w:tcPr>
          <w:p w:rsidR="00D02866" w:rsidRDefault="00D02866">
            <w:pPr>
              <w:pStyle w:val="ConsPlusNormal"/>
              <w:jc w:val="both"/>
            </w:pPr>
            <w:r>
              <w:t>C</w:t>
            </w:r>
          </w:p>
        </w:tc>
      </w:tr>
      <w:tr w:rsidR="00D02866">
        <w:tc>
          <w:tcPr>
            <w:tcW w:w="2664" w:type="dxa"/>
          </w:tcPr>
          <w:p w:rsidR="00D02866" w:rsidRDefault="00D02866">
            <w:pPr>
              <w:pStyle w:val="ConsPlusNormal"/>
              <w:jc w:val="both"/>
            </w:pPr>
            <w:r>
              <w:t>Электро-физиологическое исследование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Может быть выполнено по жизненно важным показаниям</w:t>
            </w:r>
          </w:p>
        </w:tc>
        <w:tc>
          <w:tcPr>
            <w:tcW w:w="1020" w:type="dxa"/>
          </w:tcPr>
          <w:p w:rsidR="00D02866" w:rsidRDefault="00D02866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1020" w:type="dxa"/>
          </w:tcPr>
          <w:p w:rsidR="00D02866" w:rsidRDefault="00D02866">
            <w:pPr>
              <w:pStyle w:val="ConsPlusNormal"/>
              <w:jc w:val="both"/>
            </w:pPr>
            <w:r>
              <w:t>C</w:t>
            </w:r>
          </w:p>
        </w:tc>
      </w:tr>
      <w:tr w:rsidR="00D02866">
        <w:tc>
          <w:tcPr>
            <w:tcW w:w="2664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ЭХОКГ</w:t>
            </w:r>
          </w:p>
        </w:tc>
        <w:tc>
          <w:tcPr>
            <w:tcW w:w="4365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ТТ-ЭХОКГ - нет ограничений</w:t>
            </w:r>
          </w:p>
        </w:tc>
        <w:tc>
          <w:tcPr>
            <w:tcW w:w="1020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1020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C</w:t>
            </w:r>
          </w:p>
        </w:tc>
      </w:tr>
      <w:tr w:rsidR="00D02866">
        <w:tc>
          <w:tcPr>
            <w:tcW w:w="266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ЧП-ЭХОКГ - если ТТ-ЭХОКГ недостаточно для постановки диагноза или детализации нарушений.</w:t>
            </w:r>
          </w:p>
        </w:tc>
        <w:tc>
          <w:tcPr>
            <w:tcW w:w="1020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1020" w:type="dxa"/>
            <w:vMerge/>
          </w:tcPr>
          <w:p w:rsidR="00D02866" w:rsidRDefault="00D02866">
            <w:pPr>
              <w:pStyle w:val="ConsPlusNormal"/>
            </w:pPr>
          </w:p>
        </w:tc>
      </w:tr>
      <w:tr w:rsidR="00D02866">
        <w:tc>
          <w:tcPr>
            <w:tcW w:w="2664" w:type="dxa"/>
          </w:tcPr>
          <w:p w:rsidR="00D02866" w:rsidRDefault="00D02866">
            <w:pPr>
              <w:pStyle w:val="ConsPlusNormal"/>
              <w:jc w:val="both"/>
            </w:pPr>
            <w:r>
              <w:t>МРТ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Без использования контраста (гадолиний) может быть выполнена в случае, если ЭХОКГ недостаточно для постановки диагноза</w:t>
            </w:r>
          </w:p>
        </w:tc>
        <w:tc>
          <w:tcPr>
            <w:tcW w:w="1020" w:type="dxa"/>
          </w:tcPr>
          <w:p w:rsidR="00D02866" w:rsidRDefault="00D02866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1020" w:type="dxa"/>
          </w:tcPr>
          <w:p w:rsidR="00D02866" w:rsidRDefault="00D02866">
            <w:pPr>
              <w:pStyle w:val="ConsPlusNormal"/>
              <w:jc w:val="both"/>
            </w:pPr>
            <w:r>
              <w:t>C</w:t>
            </w:r>
          </w:p>
        </w:tc>
      </w:tr>
      <w:tr w:rsidR="00D02866">
        <w:tc>
          <w:tcPr>
            <w:tcW w:w="2664" w:type="dxa"/>
          </w:tcPr>
          <w:p w:rsidR="00D02866" w:rsidRDefault="00D02866">
            <w:pPr>
              <w:pStyle w:val="ConsPlusNormal"/>
              <w:jc w:val="both"/>
            </w:pPr>
            <w:r>
              <w:t>КТ/МСКТ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Может быть выполнена по жизненно важным показаниям</w:t>
            </w:r>
          </w:p>
        </w:tc>
        <w:tc>
          <w:tcPr>
            <w:tcW w:w="1020" w:type="dxa"/>
          </w:tcPr>
          <w:p w:rsidR="00D02866" w:rsidRDefault="00D02866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1020" w:type="dxa"/>
          </w:tcPr>
          <w:p w:rsidR="00D02866" w:rsidRDefault="00D02866">
            <w:pPr>
              <w:pStyle w:val="ConsPlusNormal"/>
              <w:jc w:val="both"/>
            </w:pPr>
            <w:r>
              <w:t>C</w:t>
            </w:r>
          </w:p>
        </w:tc>
      </w:tr>
      <w:tr w:rsidR="00D02866">
        <w:tc>
          <w:tcPr>
            <w:tcW w:w="2664" w:type="dxa"/>
          </w:tcPr>
          <w:p w:rsidR="00D02866" w:rsidRDefault="00D02866">
            <w:pPr>
              <w:pStyle w:val="ConsPlusNormal"/>
              <w:jc w:val="both"/>
            </w:pPr>
            <w:r>
              <w:t>Рентгенография органов грудной клетки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Может быть выполнена в случае, если другие методы обследования не могут объяснить генез одышки</w:t>
            </w:r>
          </w:p>
        </w:tc>
        <w:tc>
          <w:tcPr>
            <w:tcW w:w="1020" w:type="dxa"/>
          </w:tcPr>
          <w:p w:rsidR="00D02866" w:rsidRDefault="00D02866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1020" w:type="dxa"/>
          </w:tcPr>
          <w:p w:rsidR="00D02866" w:rsidRDefault="00D02866">
            <w:pPr>
              <w:pStyle w:val="ConsPlusNormal"/>
              <w:jc w:val="both"/>
            </w:pPr>
            <w:r>
              <w:t>C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23" w:name="P2195"/>
      <w:bookmarkEnd w:id="423"/>
      <w:r>
        <w:t>Таблица П13/Г1. Упрощенная модель клинических вариантов течения ГКМП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  <w:r>
        <w:rPr>
          <w:noProof/>
          <w:position w:val="-266"/>
        </w:rPr>
        <w:drawing>
          <wp:inline distT="0" distB="0" distL="0" distR="0">
            <wp:extent cx="4772025" cy="3521075"/>
            <wp:effectExtent l="0" t="0" r="0" b="0"/>
            <wp:docPr id="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352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Г2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r>
        <w:t>ШКАЛЫ ОЦЕНКИ РИСКА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24" w:name="P2207"/>
      <w:bookmarkEnd w:id="424"/>
      <w:r>
        <w:t xml:space="preserve">Таблица П1/Г2. Шкала прогнозирования вероятности обнаружения генетических вариантов при ГКМП (адаптировано из </w:t>
      </w:r>
      <w:hyperlink w:anchor="P1204">
        <w:r>
          <w:rPr>
            <w:color w:val="0000FF"/>
          </w:rPr>
          <w:t>[170]</w:t>
        </w:r>
      </w:hyperlink>
      <w:r>
        <w:t>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Название на русском языке: Шкала прогнозирования вероятности обнаружения генетических вариантов при ГКМП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Оригинальное название (если есть): нет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Источник (официальный сайт разработчиков, публикация с валидацией):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Ingles J. Non-familial hypertrophic cardiomyopathy prevalence, natural history, and clinical implications. Circ Cardiovasc./Ingles J., Burns C., Bagnall R.D. et al.//Genet. 2017:10 </w:t>
      </w:r>
      <w:hyperlink w:anchor="P1204">
        <w:r>
          <w:rPr>
            <w:color w:val="0000FF"/>
          </w:rPr>
          <w:t>[170]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Тип (подчеркнуть):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шкала оценки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индекс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вопросник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другое (уточнить):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Назначение: клинический инструмент для прогнозирования вероятности обнаружения генетических вариантов при ГКМП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Содержание (шаблон):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4"/>
        <w:gridCol w:w="4365"/>
        <w:gridCol w:w="1870"/>
      </w:tblGrid>
      <w:tr w:rsidR="00D02866">
        <w:tc>
          <w:tcPr>
            <w:tcW w:w="2834" w:type="dxa"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center"/>
            </w:pPr>
            <w:r>
              <w:t>Переменная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center"/>
            </w:pPr>
            <w:r>
              <w:t>Баллы</w:t>
            </w:r>
          </w:p>
        </w:tc>
      </w:tr>
      <w:tr w:rsidR="00D02866">
        <w:tc>
          <w:tcPr>
            <w:tcW w:w="2834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Возраст, лет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0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20 - 29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- 1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30 - 39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- 2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40 - 49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- 3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50 - 59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- 4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60 - 69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- 5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70 - 79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- 6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80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- 7</w:t>
            </w:r>
          </w:p>
        </w:tc>
      </w:tr>
      <w:tr w:rsidR="00D02866">
        <w:tc>
          <w:tcPr>
            <w:tcW w:w="7199" w:type="dxa"/>
            <w:gridSpan w:val="2"/>
          </w:tcPr>
          <w:p w:rsidR="00D02866" w:rsidRDefault="00D02866">
            <w:pPr>
              <w:pStyle w:val="ConsPlusNormal"/>
              <w:jc w:val="both"/>
            </w:pPr>
            <w:r>
              <w:t>Женщины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- 4</w:t>
            </w:r>
          </w:p>
        </w:tc>
      </w:tr>
      <w:tr w:rsidR="00D02866">
        <w:tc>
          <w:tcPr>
            <w:tcW w:w="7199" w:type="dxa"/>
            <w:gridSpan w:val="2"/>
          </w:tcPr>
          <w:p w:rsidR="00D02866" w:rsidRDefault="00D02866">
            <w:pPr>
              <w:pStyle w:val="ConsPlusNormal"/>
              <w:jc w:val="both"/>
            </w:pPr>
            <w:r>
              <w:t>Артериальная гипертензия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- 4</w:t>
            </w:r>
          </w:p>
        </w:tc>
      </w:tr>
      <w:tr w:rsidR="00D02866">
        <w:tc>
          <w:tcPr>
            <w:tcW w:w="7199" w:type="dxa"/>
            <w:gridSpan w:val="2"/>
          </w:tcPr>
          <w:p w:rsidR="00D02866" w:rsidRDefault="00D02866">
            <w:pPr>
              <w:pStyle w:val="ConsPlusNormal"/>
              <w:jc w:val="both"/>
            </w:pPr>
            <w:r>
              <w:t>"Двояковыпуклая" форма МЖП (англ. "reverse curve")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5</w:t>
            </w:r>
          </w:p>
        </w:tc>
      </w:tr>
      <w:tr w:rsidR="00D02866">
        <w:tc>
          <w:tcPr>
            <w:tcW w:w="2834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Соотношение толщины МЖП/ЗСЛЖ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1,46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0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1,47 - 1,70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1,71 - 1,92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2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1,93 - 2,26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3</w:t>
            </w:r>
          </w:p>
        </w:tc>
      </w:tr>
      <w:tr w:rsidR="00D02866">
        <w:tc>
          <w:tcPr>
            <w:tcW w:w="2834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2,27</w:t>
            </w:r>
          </w:p>
        </w:tc>
        <w:tc>
          <w:tcPr>
            <w:tcW w:w="1870" w:type="dxa"/>
          </w:tcPr>
          <w:p w:rsidR="00D02866" w:rsidRDefault="00D02866">
            <w:pPr>
              <w:pStyle w:val="ConsPlusNormal"/>
              <w:jc w:val="both"/>
            </w:pPr>
            <w:r>
              <w:t>4</w:t>
            </w:r>
          </w:p>
        </w:tc>
      </w:tr>
      <w:tr w:rsidR="00D02866">
        <w:tc>
          <w:tcPr>
            <w:tcW w:w="9069" w:type="dxa"/>
            <w:gridSpan w:val="3"/>
          </w:tcPr>
          <w:p w:rsidR="00D02866" w:rsidRDefault="00D02866">
            <w:pPr>
              <w:pStyle w:val="ConsPlusNormal"/>
              <w:jc w:val="both"/>
            </w:pPr>
            <w:r>
              <w:t>Ключ (интерпретация):</w:t>
            </w:r>
          </w:p>
          <w:p w:rsidR="00D02866" w:rsidRDefault="00D02866">
            <w:pPr>
              <w:pStyle w:val="ConsPlusNormal"/>
              <w:jc w:val="both"/>
            </w:pPr>
            <w:r>
              <w:t xml:space="preserve">Сумма баллов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2 предсказывает низкую вероятность обнаружения генетических вариантов </w:t>
            </w:r>
            <w:r>
              <w:lastRenderedPageBreak/>
              <w:t>в причинных генах, наиболее распространенных при ГКМП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25" w:name="P2261"/>
      <w:bookmarkEnd w:id="425"/>
      <w:r>
        <w:t>Таблица П2/Г2. HCM Risk-SCD. Шкала оценки риска ВСС у пациентов с ГКМП (европейская модель)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Название на русском языке: HCM Risk-SCD. Шкала оценки риска ВСС у пациентов с ГКМП (европейская модель).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Оригинальное название (если есть): HCM Risk-SCD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Источник (официальный сайт разработчиков, публикация с валидацией):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O'Mahony C. A novel clinical risk prediction model for sudden cardiac death in hypertrophic cardiomyopathy (HCM Risk-SCD)./O'Mahony C., Jichi F., Pavlou M. et al.//Eur Heart J. 2014; 35: 2010 - 2020 </w:t>
      </w:r>
      <w:hyperlink w:anchor="P1215">
        <w:r>
          <w:rPr>
            <w:color w:val="0000FF"/>
          </w:rPr>
          <w:t>[181]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Liebregts M. Validation of the HCM Risk-SCD model in patients with hypertrophic cardiomyopathy following alcohol septal ablation/Liebregts M., Faber L., Jensen M.K. et al.//Europace. 2018; 20(FI2): 198 - 203 </w:t>
      </w:r>
      <w:hyperlink w:anchor="P1334">
        <w:r>
          <w:rPr>
            <w:color w:val="0000FF"/>
          </w:rPr>
          <w:t>[300]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"Калькулятор" на сайте http://doc2do.com/hcm/webHCM.html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Тип (подчеркнуть):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шкала оценки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индекс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вопросник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другое (уточнить):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Назначение: клинический инструмент для прогнозирования риска ВСС у пациентов с ГКМП.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Содержание (шаблон):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0"/>
      </w:tblGrid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  <w:jc w:val="center"/>
            </w:pPr>
            <w:r>
              <w:t>Шкала риска ВСС HCM Risk-SCD (европейская модель)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</w:pPr>
            <w:r>
              <w:t>Показывает лучшие результаты у пациентов ГКМП с высоким риском ВСС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</w:pPr>
            <w:r>
              <w:t>Калькулятор 5-летнего риска ВСС на основе модели, в которой учитываются следующие параметры:</w:t>
            </w:r>
          </w:p>
          <w:p w:rsidR="00D02866" w:rsidRDefault="00D02866">
            <w:pPr>
              <w:pStyle w:val="ConsPlusNormal"/>
              <w:ind w:firstLine="283"/>
              <w:jc w:val="both"/>
            </w:pPr>
            <w:r>
              <w:t>1. Семейная история ВСС</w:t>
            </w:r>
          </w:p>
          <w:p w:rsidR="00D02866" w:rsidRDefault="00D02866">
            <w:pPr>
              <w:pStyle w:val="ConsPlusNormal"/>
              <w:ind w:firstLine="283"/>
              <w:jc w:val="both"/>
            </w:pPr>
            <w:r>
              <w:t>2. Синкопы</w:t>
            </w:r>
          </w:p>
          <w:p w:rsidR="00D02866" w:rsidRDefault="00D02866">
            <w:pPr>
              <w:pStyle w:val="ConsPlusNormal"/>
              <w:ind w:firstLine="283"/>
              <w:jc w:val="both"/>
            </w:pPr>
            <w:r>
              <w:t>3. НУЖТ</w:t>
            </w:r>
          </w:p>
          <w:p w:rsidR="00D02866" w:rsidRDefault="00D02866">
            <w:pPr>
              <w:pStyle w:val="ConsPlusNormal"/>
              <w:ind w:firstLine="283"/>
              <w:jc w:val="both"/>
            </w:pPr>
            <w:r>
              <w:t>4. Макс. толщина стенки ЛЖ</w:t>
            </w:r>
          </w:p>
          <w:p w:rsidR="00D02866" w:rsidRDefault="00D02866">
            <w:pPr>
              <w:pStyle w:val="ConsPlusNormal"/>
              <w:ind w:firstLine="283"/>
              <w:jc w:val="both"/>
            </w:pPr>
            <w:r>
              <w:t>5. Возраст</w:t>
            </w:r>
          </w:p>
          <w:p w:rsidR="00D02866" w:rsidRDefault="00D02866">
            <w:pPr>
              <w:pStyle w:val="ConsPlusNormal"/>
              <w:ind w:firstLine="283"/>
              <w:jc w:val="both"/>
            </w:pPr>
            <w:r>
              <w:t>6. Диаметр ЛП</w:t>
            </w:r>
          </w:p>
          <w:p w:rsidR="00D02866" w:rsidRDefault="00D02866">
            <w:pPr>
              <w:pStyle w:val="ConsPlusNormal"/>
              <w:ind w:firstLine="283"/>
              <w:jc w:val="both"/>
            </w:pPr>
            <w:r>
              <w:t>7. ГД в ВТЛЖ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</w:pPr>
            <w:r>
              <w:t>Параметры вносятся в "Калькулятор" на сайте http://doc2do.com/hcm/webHCM.html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  <w:jc w:val="center"/>
            </w:pPr>
            <w:r>
              <w:t>Ключ (интерпретация)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</w:pPr>
            <w:r>
              <w:t xml:space="preserve">ИКД*** показан, если риск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6%;</w:t>
            </w:r>
          </w:p>
          <w:p w:rsidR="00D02866" w:rsidRDefault="00D02866">
            <w:pPr>
              <w:pStyle w:val="ConsPlusNormal"/>
            </w:pPr>
            <w:r>
              <w:lastRenderedPageBreak/>
              <w:t xml:space="preserve">ИКД*** может быть рассмотрен, если риск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4%, но &lt; 6%;</w:t>
            </w:r>
          </w:p>
          <w:p w:rsidR="00D02866" w:rsidRDefault="00D02866">
            <w:pPr>
              <w:pStyle w:val="ConsPlusNormal"/>
            </w:pPr>
            <w:r>
              <w:t>ИКД***, как правило, не показан, если риск &lt; 4%.</w:t>
            </w:r>
          </w:p>
        </w:tc>
      </w:tr>
      <w:tr w:rsidR="00D02866">
        <w:tc>
          <w:tcPr>
            <w:tcW w:w="9070" w:type="dxa"/>
            <w:tcBorders>
              <w:left w:val="single" w:sz="4" w:space="0" w:color="auto"/>
              <w:right w:val="single" w:sz="4" w:space="0" w:color="auto"/>
            </w:tcBorders>
          </w:tcPr>
          <w:p w:rsidR="00D02866" w:rsidRDefault="00D02866">
            <w:pPr>
              <w:pStyle w:val="ConsPlusNormal"/>
            </w:pPr>
            <w:r>
              <w:lastRenderedPageBreak/>
              <w:t xml:space="preserve">Шкала HCM Risk-SCD была валидирована для пациентов с предшествующей редукцией МЖП методом САА. </w:t>
            </w:r>
            <w:hyperlink w:anchor="P1209">
              <w:r>
                <w:rPr>
                  <w:color w:val="0000FF"/>
                </w:rPr>
                <w:t>[175]</w:t>
              </w:r>
            </w:hyperlink>
            <w:r>
              <w:t>.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26" w:name="P2294"/>
      <w:bookmarkEnd w:id="426"/>
      <w:r>
        <w:t>Таблица П3/Г2. Шкала оценки риска ВСС у пациентов с ГКМП (американская модель)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Название на русском языке: Шкала оценки риска ВСС у пациентов с ГКМП (американская модель).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Оригинальное название (если есть): нет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Источник (официальный сайт разработчиков, публикация с валидацией):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2011 ACCF/AHA guideline for the diagnosis and treatment of hypertrophic cardiomyopathy: executive summary: a report of the American College of Cardiology Foundation/American Heart Association Task Force on Practice Guidelines//Circulation. 2011; 124(2): 2761 - 2796 </w:t>
      </w:r>
      <w:hyperlink w:anchor="P1037">
        <w:r>
          <w:rPr>
            <w:color w:val="0000FF"/>
          </w:rPr>
          <w:t>[3]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Goff Z.D. Sudden death related cardiomyopathies - hypertrophic cardiomyopathy./Goff Z.D., Calkins H.//Prog Cardiovasc Dis. 2019; 62(3): 212 - 216 </w:t>
      </w:r>
      <w:hyperlink w:anchor="P1155">
        <w:r>
          <w:rPr>
            <w:color w:val="0000FF"/>
          </w:rPr>
          <w:t>[121]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Тип (подчеркнуть):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шкала оценки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индекс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вопросник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другое (уточнить):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Назначение: клинический инструмент для прогнозирования риска ВСС у пациентов с ГКМП.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Содержание (шаблон):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7313"/>
      </w:tblGrid>
      <w:tr w:rsidR="00D02866">
        <w:tc>
          <w:tcPr>
            <w:tcW w:w="9070" w:type="dxa"/>
            <w:gridSpan w:val="2"/>
          </w:tcPr>
          <w:p w:rsidR="00D02866" w:rsidRDefault="00D02866">
            <w:pPr>
              <w:pStyle w:val="ConsPlusNormal"/>
              <w:jc w:val="center"/>
            </w:pPr>
            <w:r>
              <w:t>Шкала риска ВСС (американская модель)</w:t>
            </w:r>
          </w:p>
        </w:tc>
      </w:tr>
      <w:tr w:rsidR="00D02866">
        <w:tc>
          <w:tcPr>
            <w:tcW w:w="1757" w:type="dxa"/>
          </w:tcPr>
          <w:p w:rsidR="00D02866" w:rsidRDefault="00D02866">
            <w:pPr>
              <w:pStyle w:val="ConsPlusNormal"/>
            </w:pPr>
          </w:p>
        </w:tc>
        <w:tc>
          <w:tcPr>
            <w:tcW w:w="7313" w:type="dxa"/>
          </w:tcPr>
          <w:p w:rsidR="00D02866" w:rsidRDefault="00D02866">
            <w:pPr>
              <w:pStyle w:val="ConsPlusNormal"/>
              <w:jc w:val="center"/>
            </w:pPr>
            <w:r>
              <w:t>Факторы риска ВСС</w:t>
            </w:r>
          </w:p>
        </w:tc>
      </w:tr>
      <w:tr w:rsidR="00D02866"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Доказанные факторы риска ВСС</w:t>
            </w:r>
          </w:p>
        </w:tc>
        <w:tc>
          <w:tcPr>
            <w:tcW w:w="7313" w:type="dxa"/>
          </w:tcPr>
          <w:p w:rsidR="00D02866" w:rsidRDefault="00D02866">
            <w:pPr>
              <w:pStyle w:val="ConsPlusNormal"/>
              <w:ind w:firstLine="540"/>
            </w:pPr>
            <w:r>
              <w:t>1. Предотвращенная ВСС (выжившие после остановки сердца вследствие ФТ или ФЖ)</w:t>
            </w:r>
          </w:p>
          <w:p w:rsidR="00D02866" w:rsidRDefault="00D02866">
            <w:pPr>
              <w:pStyle w:val="ConsPlusNormal"/>
              <w:ind w:firstLine="540"/>
            </w:pPr>
            <w:r>
              <w:t>2. Спонтанная устойчивая ЖТ</w:t>
            </w:r>
          </w:p>
          <w:p w:rsidR="00D02866" w:rsidRDefault="00D02866">
            <w:pPr>
              <w:pStyle w:val="ConsPlusNormal"/>
              <w:ind w:firstLine="540"/>
            </w:pPr>
            <w:r>
              <w:t>3. Семейная история ВСС вследствие ГКМП</w:t>
            </w:r>
          </w:p>
          <w:p w:rsidR="00D02866" w:rsidRDefault="00D02866">
            <w:pPr>
              <w:pStyle w:val="ConsPlusNormal"/>
              <w:ind w:firstLine="540"/>
            </w:pPr>
            <w:r>
              <w:t xml:space="preserve">4. Максимальная толщина стенки ЛЖ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30 мм</w:t>
            </w:r>
          </w:p>
          <w:p w:rsidR="00D02866" w:rsidRDefault="00D02866">
            <w:pPr>
              <w:pStyle w:val="ConsPlusNormal"/>
              <w:ind w:firstLine="540"/>
            </w:pPr>
            <w:r>
              <w:t>5. Необъяснимая синкопа в течение последних 6 мес.</w:t>
            </w:r>
          </w:p>
          <w:p w:rsidR="00D02866" w:rsidRDefault="00D02866">
            <w:pPr>
              <w:pStyle w:val="ConsPlusNormal"/>
              <w:ind w:firstLine="540"/>
            </w:pPr>
            <w:r>
              <w:t xml:space="preserve">6. НУЖТ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комплексов</w:t>
            </w:r>
          </w:p>
          <w:p w:rsidR="00D02866" w:rsidRDefault="00D02866">
            <w:pPr>
              <w:pStyle w:val="ConsPlusNormal"/>
              <w:ind w:firstLine="540"/>
            </w:pPr>
            <w:r>
              <w:t>7. Неадекватная реакция АД на физ. нагрузку</w:t>
            </w:r>
          </w:p>
        </w:tc>
      </w:tr>
      <w:tr w:rsidR="00D02866"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Модификаторы риска ВСС</w:t>
            </w:r>
          </w:p>
        </w:tc>
        <w:tc>
          <w:tcPr>
            <w:tcW w:w="7313" w:type="dxa"/>
          </w:tcPr>
          <w:p w:rsidR="00D02866" w:rsidRDefault="00D02866">
            <w:pPr>
              <w:pStyle w:val="ConsPlusNormal"/>
              <w:ind w:firstLine="540"/>
            </w:pPr>
            <w:r>
              <w:t>1. Возраст &lt; 30 лет</w:t>
            </w:r>
          </w:p>
          <w:p w:rsidR="00D02866" w:rsidRDefault="00D02866">
            <w:pPr>
              <w:pStyle w:val="ConsPlusNormal"/>
              <w:ind w:firstLine="540"/>
            </w:pPr>
            <w:r>
              <w:t>2. ПНГ при МРТ</w:t>
            </w:r>
          </w:p>
          <w:p w:rsidR="00D02866" w:rsidRDefault="00D02866">
            <w:pPr>
              <w:pStyle w:val="ConsPlusNormal"/>
              <w:ind w:firstLine="540"/>
            </w:pPr>
            <w:r>
              <w:t>3. Наличие обструкции ВТЛЖ</w:t>
            </w:r>
          </w:p>
          <w:p w:rsidR="00D02866" w:rsidRDefault="00D02866">
            <w:pPr>
              <w:pStyle w:val="ConsPlusNormal"/>
              <w:ind w:firstLine="540"/>
            </w:pPr>
            <w:r>
              <w:t>4. Необъяснимые синкопы в течение последних 5 лет</w:t>
            </w:r>
          </w:p>
        </w:tc>
      </w:tr>
      <w:tr w:rsidR="00D02866"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 xml:space="preserve">Подгруппы </w:t>
            </w:r>
            <w:r>
              <w:lastRenderedPageBreak/>
              <w:t>пациентов высокого риска ВСС</w:t>
            </w:r>
          </w:p>
        </w:tc>
        <w:tc>
          <w:tcPr>
            <w:tcW w:w="7313" w:type="dxa"/>
          </w:tcPr>
          <w:p w:rsidR="00D02866" w:rsidRDefault="00D02866">
            <w:pPr>
              <w:pStyle w:val="ConsPlusNormal"/>
              <w:ind w:firstLine="540"/>
            </w:pPr>
            <w:r>
              <w:lastRenderedPageBreak/>
              <w:t>1. Апикальная аневризма ЛЖ</w:t>
            </w:r>
          </w:p>
          <w:p w:rsidR="00D02866" w:rsidRDefault="00D02866">
            <w:pPr>
              <w:pStyle w:val="ConsPlusNormal"/>
              <w:ind w:firstLine="540"/>
            </w:pPr>
            <w:r>
              <w:lastRenderedPageBreak/>
              <w:t>2. ФВ ЛЖ &lt; 50%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Ключ (интерпретация) к имплантации ИКД***: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09"/>
        <w:gridCol w:w="1757"/>
        <w:gridCol w:w="1303"/>
      </w:tblGrid>
      <w:tr w:rsidR="00D02866">
        <w:tc>
          <w:tcPr>
            <w:tcW w:w="6009" w:type="dxa"/>
          </w:tcPr>
          <w:p w:rsidR="00D02866" w:rsidRDefault="00D02866">
            <w:pPr>
              <w:pStyle w:val="ConsPlusNormal"/>
              <w:jc w:val="center"/>
            </w:pPr>
            <w:r>
              <w:t>Факторы риска ВСС (американская модель)</w:t>
            </w:r>
          </w:p>
        </w:tc>
        <w:tc>
          <w:tcPr>
            <w:tcW w:w="1757" w:type="dxa"/>
          </w:tcPr>
          <w:p w:rsidR="00D02866" w:rsidRDefault="00D02866">
            <w:pPr>
              <w:pStyle w:val="ConsPlusNormal"/>
              <w:jc w:val="center"/>
            </w:pPr>
            <w:r>
              <w:t>Имплантация ИКД***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center"/>
            </w:pPr>
            <w:r>
              <w:t>Класс по AHA/ACC</w:t>
            </w:r>
          </w:p>
        </w:tc>
      </w:tr>
      <w:tr w:rsidR="00D02866">
        <w:tc>
          <w:tcPr>
            <w:tcW w:w="6009" w:type="dxa"/>
          </w:tcPr>
          <w:p w:rsidR="00D02866" w:rsidRDefault="00D02866">
            <w:pPr>
              <w:pStyle w:val="ConsPlusNormal"/>
              <w:jc w:val="both"/>
            </w:pPr>
            <w:r>
              <w:t>Предотвращенная ВСС (выжившие после остановки сердца вследствие ЖТ или ФЖ)</w:t>
            </w:r>
          </w:p>
        </w:tc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показана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I</w:t>
            </w:r>
          </w:p>
        </w:tc>
      </w:tr>
      <w:tr w:rsidR="00D02866">
        <w:tc>
          <w:tcPr>
            <w:tcW w:w="6009" w:type="dxa"/>
          </w:tcPr>
          <w:p w:rsidR="00D02866" w:rsidRDefault="00D02866">
            <w:pPr>
              <w:pStyle w:val="ConsPlusNormal"/>
              <w:jc w:val="both"/>
            </w:pPr>
            <w:r>
              <w:t>Синкопа, вызванная спонтанной устойчивой ЖТ или гемодинамически значимая ЖТ</w:t>
            </w:r>
          </w:p>
        </w:tc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показана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I</w:t>
            </w:r>
          </w:p>
        </w:tc>
      </w:tr>
      <w:tr w:rsidR="00D02866">
        <w:tc>
          <w:tcPr>
            <w:tcW w:w="6009" w:type="dxa"/>
          </w:tcPr>
          <w:p w:rsidR="00D02866" w:rsidRDefault="00D02866">
            <w:pPr>
              <w:pStyle w:val="ConsPlusNormal"/>
              <w:jc w:val="both"/>
            </w:pPr>
            <w:r>
              <w:t>Наличие хотя бы 1 из следующих факторов:</w:t>
            </w:r>
          </w:p>
          <w:p w:rsidR="00D02866" w:rsidRDefault="00D02866">
            <w:pPr>
              <w:pStyle w:val="ConsPlusNormal"/>
              <w:jc w:val="both"/>
            </w:pPr>
            <w:r>
              <w:t>1. Семейная история ВСС вследствие ГКМП</w:t>
            </w:r>
          </w:p>
          <w:p w:rsidR="00D02866" w:rsidRDefault="00D02866">
            <w:pPr>
              <w:pStyle w:val="ConsPlusNormal"/>
              <w:jc w:val="both"/>
            </w:pPr>
            <w:r>
              <w:t>2. Необъяснимая синкопа в течение последних 6 мес.</w:t>
            </w:r>
          </w:p>
          <w:p w:rsidR="00D02866" w:rsidRDefault="00D02866">
            <w:pPr>
              <w:pStyle w:val="ConsPlusNormal"/>
              <w:jc w:val="both"/>
            </w:pPr>
            <w:r>
              <w:t xml:space="preserve">3. Макс. толщина стенки ЛЖ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30 мм</w:t>
            </w:r>
          </w:p>
        </w:tc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показана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IIa</w:t>
            </w:r>
          </w:p>
        </w:tc>
      </w:tr>
      <w:tr w:rsidR="00D02866">
        <w:tc>
          <w:tcPr>
            <w:tcW w:w="600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Спонтанная НУЖТ +</w:t>
            </w:r>
          </w:p>
        </w:tc>
        <w:tc>
          <w:tcPr>
            <w:tcW w:w="1757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показана</w:t>
            </w:r>
          </w:p>
        </w:tc>
        <w:tc>
          <w:tcPr>
            <w:tcW w:w="1303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IIa</w:t>
            </w:r>
          </w:p>
        </w:tc>
      </w:tr>
      <w:tr w:rsidR="00D02866">
        <w:tc>
          <w:tcPr>
            <w:tcW w:w="600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хотя бы 1 из факторов-модификаторов риска или пациент входит в группу высокого риска ВСС</w:t>
            </w:r>
          </w:p>
        </w:tc>
        <w:tc>
          <w:tcPr>
            <w:tcW w:w="1757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1303" w:type="dxa"/>
            <w:vMerge/>
          </w:tcPr>
          <w:p w:rsidR="00D02866" w:rsidRDefault="00D02866">
            <w:pPr>
              <w:pStyle w:val="ConsPlusNormal"/>
            </w:pPr>
          </w:p>
        </w:tc>
      </w:tr>
      <w:tr w:rsidR="00D02866">
        <w:tc>
          <w:tcPr>
            <w:tcW w:w="6009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Неадекватная реакция АД на физ. нагрузку +</w:t>
            </w:r>
          </w:p>
        </w:tc>
        <w:tc>
          <w:tcPr>
            <w:tcW w:w="1757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показана</w:t>
            </w:r>
          </w:p>
        </w:tc>
        <w:tc>
          <w:tcPr>
            <w:tcW w:w="1303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IIa</w:t>
            </w:r>
          </w:p>
        </w:tc>
      </w:tr>
      <w:tr w:rsidR="00D02866">
        <w:tc>
          <w:tcPr>
            <w:tcW w:w="6009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хотя бы 1 из факторов-модификаторов риска или пациент входит в группу высокого риска ВСС</w:t>
            </w:r>
          </w:p>
        </w:tc>
        <w:tc>
          <w:tcPr>
            <w:tcW w:w="1757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1303" w:type="dxa"/>
            <w:vMerge/>
          </w:tcPr>
          <w:p w:rsidR="00D02866" w:rsidRDefault="00D02866">
            <w:pPr>
              <w:pStyle w:val="ConsPlusNormal"/>
            </w:pPr>
          </w:p>
        </w:tc>
      </w:tr>
      <w:tr w:rsidR="00D02866">
        <w:tc>
          <w:tcPr>
            <w:tcW w:w="6009" w:type="dxa"/>
          </w:tcPr>
          <w:p w:rsidR="00D02866" w:rsidRDefault="00D02866">
            <w:pPr>
              <w:pStyle w:val="ConsPlusNormal"/>
              <w:jc w:val="both"/>
            </w:pPr>
            <w:r>
              <w:t>Спонтанная НУЖТ или неадекватная реакция АД на физ. нагрузку без дополнительных факторов риска</w:t>
            </w:r>
          </w:p>
        </w:tc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Рассмотреть возможность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IIb</w:t>
            </w:r>
          </w:p>
        </w:tc>
      </w:tr>
      <w:tr w:rsidR="00D02866">
        <w:tc>
          <w:tcPr>
            <w:tcW w:w="6009" w:type="dxa"/>
          </w:tcPr>
          <w:p w:rsidR="00D02866" w:rsidRDefault="00D02866">
            <w:pPr>
              <w:pStyle w:val="ConsPlusNormal"/>
              <w:jc w:val="both"/>
            </w:pPr>
            <w:r>
              <w:t>Выявленная мутация ассоциирована с высоким риском ВСС, без других факторов риска ВСС</w:t>
            </w:r>
          </w:p>
        </w:tc>
        <w:tc>
          <w:tcPr>
            <w:tcW w:w="1757" w:type="dxa"/>
          </w:tcPr>
          <w:p w:rsidR="00D02866" w:rsidRDefault="00D02866">
            <w:pPr>
              <w:pStyle w:val="ConsPlusNormal"/>
              <w:jc w:val="both"/>
            </w:pPr>
            <w:r>
              <w:t>Рассмотреть возможность</w:t>
            </w:r>
          </w:p>
        </w:tc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III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27" w:name="P2361"/>
      <w:bookmarkEnd w:id="427"/>
      <w:r>
        <w:t>Таблица П4/Г2. CHA2DS2-VASc. Шкала оценки риска тромбоэмболических осложнений у пациентов с фибрилляцией/трепетанием предсердий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Название на русском языке: CHA2DS2-VASc. Шкала оценки риска тромбоэмболических осложнений у пациентов с фибрилляцией/трепетанием предсердий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Оригинальное название (если есть): CHA2DS2-VASc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Источник (официальный сайт разработчиков, публикация с валидацией): Olesen, Jonas Bjerring, et al. Validation of risk stratification schemes for predicting stroke and thromboembolism in patients with atrial fibrillation: nationwide cohort study. Bmj 342 (2011): d124 </w:t>
      </w:r>
      <w:hyperlink w:anchor="P1472">
        <w:r>
          <w:rPr>
            <w:color w:val="0000FF"/>
          </w:rPr>
          <w:t>[438]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Тип (подчеркнуть):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шкала оценки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индекс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вопросник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- другое (уточнить):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Назначение: клинический инструмент для прогнозирования риска ишемического инсульта и системного тромбоэмболизма при фибрилляции предсердий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Содержание (шаблон):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96"/>
        <w:gridCol w:w="1474"/>
      </w:tblGrid>
      <w:tr w:rsidR="00D02866">
        <w:tc>
          <w:tcPr>
            <w:tcW w:w="7596" w:type="dxa"/>
          </w:tcPr>
          <w:p w:rsidR="00D02866" w:rsidRDefault="00D02866">
            <w:pPr>
              <w:pStyle w:val="ConsPlusNormal"/>
              <w:jc w:val="center"/>
            </w:pPr>
            <w:r>
              <w:t>Фактор риска</w:t>
            </w:r>
          </w:p>
        </w:tc>
        <w:tc>
          <w:tcPr>
            <w:tcW w:w="1474" w:type="dxa"/>
          </w:tcPr>
          <w:p w:rsidR="00D02866" w:rsidRDefault="00D02866">
            <w:pPr>
              <w:pStyle w:val="ConsPlusNormal"/>
              <w:jc w:val="center"/>
            </w:pPr>
            <w:r>
              <w:t>Баллы</w:t>
            </w:r>
          </w:p>
        </w:tc>
      </w:tr>
      <w:tr w:rsidR="00D02866">
        <w:tc>
          <w:tcPr>
            <w:tcW w:w="7596" w:type="dxa"/>
          </w:tcPr>
          <w:p w:rsidR="00D02866" w:rsidRDefault="00D02866">
            <w:pPr>
              <w:pStyle w:val="ConsPlusNormal"/>
              <w:jc w:val="both"/>
            </w:pPr>
            <w:r>
              <w:t>Инсульт, транзиторная ишемическая атака или артериальная тромбоэмболия в анамнезе</w:t>
            </w:r>
          </w:p>
        </w:tc>
        <w:tc>
          <w:tcPr>
            <w:tcW w:w="1474" w:type="dxa"/>
          </w:tcPr>
          <w:p w:rsidR="00D02866" w:rsidRDefault="00D02866">
            <w:pPr>
              <w:pStyle w:val="ConsPlusNormal"/>
              <w:jc w:val="both"/>
            </w:pPr>
            <w:r>
              <w:t>2</w:t>
            </w:r>
          </w:p>
        </w:tc>
      </w:tr>
      <w:tr w:rsidR="00D02866">
        <w:tc>
          <w:tcPr>
            <w:tcW w:w="7596" w:type="dxa"/>
          </w:tcPr>
          <w:p w:rsidR="00D02866" w:rsidRDefault="00D02866">
            <w:pPr>
              <w:pStyle w:val="ConsPlusNormal"/>
              <w:jc w:val="both"/>
            </w:pPr>
            <w:r>
              <w:t xml:space="preserve">Возраст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7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75 лет</w:t>
            </w:r>
          </w:p>
        </w:tc>
        <w:tc>
          <w:tcPr>
            <w:tcW w:w="1474" w:type="dxa"/>
          </w:tcPr>
          <w:p w:rsidR="00D02866" w:rsidRDefault="00D02866">
            <w:pPr>
              <w:pStyle w:val="ConsPlusNormal"/>
              <w:jc w:val="both"/>
            </w:pPr>
            <w:r>
              <w:t>2</w:t>
            </w:r>
          </w:p>
        </w:tc>
      </w:tr>
      <w:tr w:rsidR="00D02866">
        <w:tc>
          <w:tcPr>
            <w:tcW w:w="7596" w:type="dxa"/>
          </w:tcPr>
          <w:p w:rsidR="00D02866" w:rsidRDefault="00D02866">
            <w:pPr>
              <w:pStyle w:val="ConsPlusNormal"/>
              <w:jc w:val="both"/>
            </w:pPr>
            <w:r>
              <w:t>Артериальная гипертензия</w:t>
            </w:r>
          </w:p>
        </w:tc>
        <w:tc>
          <w:tcPr>
            <w:tcW w:w="1474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</w:tr>
      <w:tr w:rsidR="00D02866">
        <w:tc>
          <w:tcPr>
            <w:tcW w:w="7596" w:type="dxa"/>
          </w:tcPr>
          <w:p w:rsidR="00D02866" w:rsidRDefault="00D02866">
            <w:pPr>
              <w:pStyle w:val="ConsPlusNormal"/>
              <w:jc w:val="both"/>
            </w:pPr>
            <w:r>
              <w:t>Сахарный диабет</w:t>
            </w:r>
          </w:p>
        </w:tc>
        <w:tc>
          <w:tcPr>
            <w:tcW w:w="1474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</w:tr>
      <w:tr w:rsidR="00D02866">
        <w:tc>
          <w:tcPr>
            <w:tcW w:w="7596" w:type="dxa"/>
          </w:tcPr>
          <w:p w:rsidR="00D02866" w:rsidRDefault="00D02866">
            <w:pPr>
              <w:pStyle w:val="ConsPlusNormal"/>
              <w:jc w:val="both"/>
            </w:pPr>
            <w:r>
              <w:t xml:space="preserve">Застойная сердечная недостаточность/дисфункция ЛЖ (в частности, ФВ 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40%)</w:t>
            </w:r>
          </w:p>
        </w:tc>
        <w:tc>
          <w:tcPr>
            <w:tcW w:w="1474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</w:tr>
      <w:tr w:rsidR="00D02866">
        <w:tc>
          <w:tcPr>
            <w:tcW w:w="7596" w:type="dxa"/>
          </w:tcPr>
          <w:p w:rsidR="00D02866" w:rsidRDefault="00D02866">
            <w:pPr>
              <w:pStyle w:val="ConsPlusNormal"/>
              <w:jc w:val="both"/>
            </w:pPr>
            <w:r>
              <w:t>Сосудистое заболевание (инфаркт миокарда в анамнезе, периферический атеросклероз, атеросклеротические бляшки в аорте)</w:t>
            </w:r>
          </w:p>
        </w:tc>
        <w:tc>
          <w:tcPr>
            <w:tcW w:w="1474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</w:tr>
      <w:tr w:rsidR="00D02866">
        <w:tc>
          <w:tcPr>
            <w:tcW w:w="7596" w:type="dxa"/>
          </w:tcPr>
          <w:p w:rsidR="00D02866" w:rsidRDefault="00D02866">
            <w:pPr>
              <w:pStyle w:val="ConsPlusNormal"/>
              <w:jc w:val="both"/>
            </w:pPr>
            <w:r>
              <w:t>Возраст 65 - 74 года</w:t>
            </w:r>
          </w:p>
        </w:tc>
        <w:tc>
          <w:tcPr>
            <w:tcW w:w="1474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</w:tr>
      <w:tr w:rsidR="00D02866">
        <w:tc>
          <w:tcPr>
            <w:tcW w:w="7596" w:type="dxa"/>
          </w:tcPr>
          <w:p w:rsidR="00D02866" w:rsidRDefault="00D02866">
            <w:pPr>
              <w:pStyle w:val="ConsPlusNormal"/>
              <w:jc w:val="both"/>
            </w:pPr>
            <w:r>
              <w:t>Женский пол</w:t>
            </w:r>
          </w:p>
        </w:tc>
        <w:tc>
          <w:tcPr>
            <w:tcW w:w="1474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Ключ (интерпретация):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05"/>
        <w:gridCol w:w="4365"/>
      </w:tblGrid>
      <w:tr w:rsidR="00D02866">
        <w:tc>
          <w:tcPr>
            <w:tcW w:w="4705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center"/>
            </w:pPr>
            <w:r>
              <w:t>Сумма баллов по шкале</w:t>
            </w:r>
          </w:p>
        </w:tc>
        <w:tc>
          <w:tcPr>
            <w:tcW w:w="4365" w:type="dxa"/>
            <w:vMerge w:val="restart"/>
          </w:tcPr>
          <w:p w:rsidR="00D02866" w:rsidRDefault="00D02866">
            <w:pPr>
              <w:pStyle w:val="ConsPlusNormal"/>
              <w:jc w:val="center"/>
            </w:pPr>
            <w:r>
              <w:t>Ожидаемая частота инсультов за год</w:t>
            </w: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4705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center"/>
            </w:pPr>
            <w:r>
              <w:t>CHA2DS2-VASc</w:t>
            </w:r>
          </w:p>
        </w:tc>
        <w:tc>
          <w:tcPr>
            <w:tcW w:w="4365" w:type="dxa"/>
            <w:vMerge/>
          </w:tcPr>
          <w:p w:rsidR="00D02866" w:rsidRDefault="00D02866">
            <w:pPr>
              <w:pStyle w:val="ConsPlusNormal"/>
            </w:pP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4705" w:type="dxa"/>
          </w:tcPr>
          <w:p w:rsidR="00D02866" w:rsidRDefault="00D02866">
            <w:pPr>
              <w:pStyle w:val="ConsPlusNormal"/>
              <w:jc w:val="both"/>
            </w:pPr>
            <w:r>
              <w:t>0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0%</w:t>
            </w: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4705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1,3%</w:t>
            </w: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4705" w:type="dxa"/>
          </w:tcPr>
          <w:p w:rsidR="00D02866" w:rsidRDefault="00D02866">
            <w:pPr>
              <w:pStyle w:val="ConsPlusNormal"/>
              <w:jc w:val="both"/>
            </w:pPr>
            <w:r>
              <w:t>2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2,2%</w:t>
            </w: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4705" w:type="dxa"/>
          </w:tcPr>
          <w:p w:rsidR="00D02866" w:rsidRDefault="00D02866">
            <w:pPr>
              <w:pStyle w:val="ConsPlusNormal"/>
              <w:jc w:val="both"/>
            </w:pPr>
            <w:r>
              <w:t>3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3,2%</w:t>
            </w: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4705" w:type="dxa"/>
          </w:tcPr>
          <w:p w:rsidR="00D02866" w:rsidRDefault="00D02866">
            <w:pPr>
              <w:pStyle w:val="ConsPlusNormal"/>
              <w:jc w:val="both"/>
            </w:pPr>
            <w:r>
              <w:t>4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4,0%</w:t>
            </w: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4705" w:type="dxa"/>
          </w:tcPr>
          <w:p w:rsidR="00D02866" w:rsidRDefault="00D02866">
            <w:pPr>
              <w:pStyle w:val="ConsPlusNormal"/>
              <w:jc w:val="both"/>
            </w:pPr>
            <w:r>
              <w:t>5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6,7%</w:t>
            </w: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4705" w:type="dxa"/>
          </w:tcPr>
          <w:p w:rsidR="00D02866" w:rsidRDefault="00D02866">
            <w:pPr>
              <w:pStyle w:val="ConsPlusNormal"/>
              <w:jc w:val="both"/>
            </w:pPr>
            <w:r>
              <w:t>6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9,8%</w:t>
            </w: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4705" w:type="dxa"/>
          </w:tcPr>
          <w:p w:rsidR="00D02866" w:rsidRDefault="00D02866">
            <w:pPr>
              <w:pStyle w:val="ConsPlusNormal"/>
              <w:jc w:val="both"/>
            </w:pPr>
            <w:r>
              <w:t>7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9,6%</w:t>
            </w: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4705" w:type="dxa"/>
          </w:tcPr>
          <w:p w:rsidR="00D02866" w:rsidRDefault="00D02866">
            <w:pPr>
              <w:pStyle w:val="ConsPlusNormal"/>
              <w:jc w:val="both"/>
            </w:pPr>
            <w:r>
              <w:t>8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6,7%</w:t>
            </w: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4705" w:type="dxa"/>
          </w:tcPr>
          <w:p w:rsidR="00D02866" w:rsidRDefault="00D02866">
            <w:pPr>
              <w:pStyle w:val="ConsPlusNormal"/>
              <w:jc w:val="both"/>
            </w:pPr>
            <w:r>
              <w:t>9</w:t>
            </w:r>
          </w:p>
        </w:tc>
        <w:tc>
          <w:tcPr>
            <w:tcW w:w="4365" w:type="dxa"/>
          </w:tcPr>
          <w:p w:rsidR="00D02866" w:rsidRDefault="00D02866">
            <w:pPr>
              <w:pStyle w:val="ConsPlusNormal"/>
              <w:jc w:val="both"/>
            </w:pPr>
            <w:r>
              <w:t>15,2%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28" w:name="P2419"/>
      <w:bookmarkEnd w:id="428"/>
      <w:r>
        <w:t>Таблица П5/Г2. HAS-BLED. Шкала оценки риска кровотечения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lastRenderedPageBreak/>
        <w:t>Название на русском языке: HAS-BLED. Шкала оценки риска большого кровотечения в течение 1 года у пациентов с фибрилляцией/трепетанием предсердий, получающих антикоагулянтную терапию в сочетании с ингибиторами агрегации тромбоцитов или без.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Оригинальное название (если есть): HAS-BLED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Источник (официальный сайт разработчиков, публикация с валидацией):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Pisters R., Lane D.A., Nieuwlaat R., de Vos C.B., Crijns H.J., Lip G.Y. A novel user-friendly score (HAS-BLED) to assess 1-year risk of major bleeding in patients with atrial fibrillation: the Euro Heart Survey. Chest. 2010 Nov; 138(5): 1093 - 100 </w:t>
      </w:r>
      <w:hyperlink w:anchor="P1402">
        <w:r>
          <w:rPr>
            <w:color w:val="0000FF"/>
          </w:rPr>
          <w:t>[368]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 xml:space="preserve">Lip G.Y., Frison L., Halperin J.L., Lane D.A. Comparative validation of a novel risk score for predicting bleeding risk in anticoagulated patients with atrial fibrillation: the HAS-BLED (Hypertension, Abnormal Renal/Liver Function, Stroke, Bleeding History or Predisposition, Labile INR, Elderly, Drugs/Alcohol Concomitantly) score. J Am Coll Cardiol. 2011 Jan 11; 57(2): 173 - 80 </w:t>
      </w:r>
      <w:hyperlink w:anchor="P1473">
        <w:r>
          <w:rPr>
            <w:color w:val="0000FF"/>
          </w:rPr>
          <w:t>[439]</w:t>
        </w:r>
      </w:hyperlink>
      <w:r>
        <w:t>.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Тип (подчеркнуть):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шкала оценки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индекс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вопросник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- другое (уточнить):</w:t>
      </w:r>
    </w:p>
    <w:p w:rsidR="00D02866" w:rsidRDefault="00D02866">
      <w:pPr>
        <w:pStyle w:val="ConsPlusNormal"/>
        <w:spacing w:before="220"/>
        <w:ind w:firstLine="540"/>
        <w:jc w:val="both"/>
      </w:pPr>
      <w:r>
        <w:t>Назначение: клинический инструмент для прогнозирования риска большого кровотечения в течение 1 года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Содержание (шаблон):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03"/>
        <w:gridCol w:w="5725"/>
        <w:gridCol w:w="2040"/>
      </w:tblGrid>
      <w:tr w:rsidR="00D02866">
        <w:tc>
          <w:tcPr>
            <w:tcW w:w="1303" w:type="dxa"/>
          </w:tcPr>
          <w:p w:rsidR="00D02866" w:rsidRDefault="00D02866">
            <w:pPr>
              <w:pStyle w:val="ConsPlusNormal"/>
              <w:jc w:val="center"/>
            </w:pPr>
            <w:r>
              <w:t>Буква</w:t>
            </w:r>
          </w:p>
        </w:tc>
        <w:tc>
          <w:tcPr>
            <w:tcW w:w="5725" w:type="dxa"/>
          </w:tcPr>
          <w:p w:rsidR="00D02866" w:rsidRDefault="00D02866">
            <w:pPr>
              <w:pStyle w:val="ConsPlusNormal"/>
              <w:jc w:val="center"/>
            </w:pPr>
            <w:r>
              <w:t>Фактор риска</w:t>
            </w:r>
          </w:p>
        </w:tc>
        <w:tc>
          <w:tcPr>
            <w:tcW w:w="2040" w:type="dxa"/>
          </w:tcPr>
          <w:p w:rsidR="00D02866" w:rsidRDefault="00D02866">
            <w:pPr>
              <w:pStyle w:val="ConsPlusNormal"/>
              <w:jc w:val="center"/>
            </w:pPr>
            <w:r>
              <w:t>Баллы</w:t>
            </w:r>
          </w:p>
        </w:tc>
      </w:tr>
      <w:tr w:rsidR="00D02866"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H</w:t>
            </w:r>
          </w:p>
        </w:tc>
        <w:tc>
          <w:tcPr>
            <w:tcW w:w="5725" w:type="dxa"/>
          </w:tcPr>
          <w:p w:rsidR="00D02866" w:rsidRDefault="00D02866">
            <w:pPr>
              <w:pStyle w:val="ConsPlusNormal"/>
              <w:jc w:val="both"/>
            </w:pPr>
            <w:r>
              <w:t>Артериальная гипертензия</w:t>
            </w:r>
          </w:p>
        </w:tc>
        <w:tc>
          <w:tcPr>
            <w:tcW w:w="2040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</w:tr>
      <w:tr w:rsidR="00D02866"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A</w:t>
            </w:r>
          </w:p>
        </w:tc>
        <w:tc>
          <w:tcPr>
            <w:tcW w:w="5725" w:type="dxa"/>
          </w:tcPr>
          <w:p w:rsidR="00D02866" w:rsidRDefault="00D02866">
            <w:pPr>
              <w:pStyle w:val="ConsPlusNormal"/>
              <w:jc w:val="both"/>
            </w:pPr>
            <w:r>
              <w:t>Нарушение функции печени или почек</w:t>
            </w:r>
          </w:p>
        </w:tc>
        <w:tc>
          <w:tcPr>
            <w:tcW w:w="2040" w:type="dxa"/>
          </w:tcPr>
          <w:p w:rsidR="00D02866" w:rsidRDefault="00D02866">
            <w:pPr>
              <w:pStyle w:val="ConsPlusNormal"/>
              <w:jc w:val="both"/>
            </w:pPr>
            <w:r>
              <w:t>1 или 2</w:t>
            </w:r>
          </w:p>
        </w:tc>
      </w:tr>
      <w:tr w:rsidR="00D02866"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S</w:t>
            </w:r>
          </w:p>
        </w:tc>
        <w:tc>
          <w:tcPr>
            <w:tcW w:w="5725" w:type="dxa"/>
          </w:tcPr>
          <w:p w:rsidR="00D02866" w:rsidRDefault="00D02866">
            <w:pPr>
              <w:pStyle w:val="ConsPlusNormal"/>
              <w:jc w:val="both"/>
            </w:pPr>
            <w:r>
              <w:t>Инсульт в анамнезе</w:t>
            </w:r>
          </w:p>
        </w:tc>
        <w:tc>
          <w:tcPr>
            <w:tcW w:w="2040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</w:tr>
      <w:tr w:rsidR="00D02866"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B</w:t>
            </w:r>
          </w:p>
        </w:tc>
        <w:tc>
          <w:tcPr>
            <w:tcW w:w="5725" w:type="dxa"/>
          </w:tcPr>
          <w:p w:rsidR="00D02866" w:rsidRDefault="00D02866">
            <w:pPr>
              <w:pStyle w:val="ConsPlusNormal"/>
              <w:jc w:val="both"/>
            </w:pPr>
            <w:r>
              <w:t>Кровотечения в анамнезе</w:t>
            </w:r>
          </w:p>
        </w:tc>
        <w:tc>
          <w:tcPr>
            <w:tcW w:w="2040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</w:tr>
      <w:tr w:rsidR="00D02866"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L</w:t>
            </w:r>
          </w:p>
        </w:tc>
        <w:tc>
          <w:tcPr>
            <w:tcW w:w="5725" w:type="dxa"/>
          </w:tcPr>
          <w:p w:rsidR="00D02866" w:rsidRDefault="00D02866">
            <w:pPr>
              <w:pStyle w:val="ConsPlusNormal"/>
              <w:jc w:val="both"/>
            </w:pPr>
            <w:r>
              <w:t>Лабильность МНО</w:t>
            </w:r>
          </w:p>
        </w:tc>
        <w:tc>
          <w:tcPr>
            <w:tcW w:w="2040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</w:tr>
      <w:tr w:rsidR="00D02866"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E</w:t>
            </w:r>
          </w:p>
        </w:tc>
        <w:tc>
          <w:tcPr>
            <w:tcW w:w="5725" w:type="dxa"/>
          </w:tcPr>
          <w:p w:rsidR="00D02866" w:rsidRDefault="00D02866">
            <w:pPr>
              <w:pStyle w:val="ConsPlusNormal"/>
              <w:jc w:val="both"/>
            </w:pPr>
            <w:r>
              <w:t>Возраст (</w:t>
            </w:r>
            <w:r>
              <w:rPr>
                <w:noProof/>
                <w:position w:val="-2"/>
              </w:rPr>
              <w:drawing>
                <wp:inline distT="0" distB="0" distL="0" distR="0">
                  <wp:extent cx="136525" cy="167640"/>
                  <wp:effectExtent l="0" t="0" r="0" b="0"/>
                  <wp:docPr id="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65 лет)</w:t>
            </w:r>
          </w:p>
        </w:tc>
        <w:tc>
          <w:tcPr>
            <w:tcW w:w="2040" w:type="dxa"/>
          </w:tcPr>
          <w:p w:rsidR="00D02866" w:rsidRDefault="00D02866">
            <w:pPr>
              <w:pStyle w:val="ConsPlusNormal"/>
              <w:jc w:val="both"/>
            </w:pPr>
            <w:r>
              <w:t>1</w:t>
            </w:r>
          </w:p>
        </w:tc>
      </w:tr>
      <w:tr w:rsidR="00D02866">
        <w:tc>
          <w:tcPr>
            <w:tcW w:w="1303" w:type="dxa"/>
          </w:tcPr>
          <w:p w:rsidR="00D02866" w:rsidRDefault="00D02866">
            <w:pPr>
              <w:pStyle w:val="ConsPlusNormal"/>
              <w:jc w:val="both"/>
            </w:pPr>
            <w:r>
              <w:t>D</w:t>
            </w:r>
          </w:p>
        </w:tc>
        <w:tc>
          <w:tcPr>
            <w:tcW w:w="5725" w:type="dxa"/>
          </w:tcPr>
          <w:p w:rsidR="00D02866" w:rsidRDefault="00D02866">
            <w:pPr>
              <w:pStyle w:val="ConsPlusNormal"/>
              <w:jc w:val="both"/>
            </w:pPr>
            <w:r>
              <w:t>Злоупотребление алкоголем или препаратами, повышающими риск кровотечений</w:t>
            </w:r>
          </w:p>
        </w:tc>
        <w:tc>
          <w:tcPr>
            <w:tcW w:w="2040" w:type="dxa"/>
          </w:tcPr>
          <w:p w:rsidR="00D02866" w:rsidRDefault="00D02866">
            <w:pPr>
              <w:pStyle w:val="ConsPlusNormal"/>
              <w:jc w:val="both"/>
            </w:pPr>
            <w:r>
              <w:t>1 или 2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3"/>
      </w:pPr>
      <w:r>
        <w:t>Ключ (интерпретация):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968"/>
        <w:gridCol w:w="5102"/>
      </w:tblGrid>
      <w:tr w:rsidR="00D02866">
        <w:tc>
          <w:tcPr>
            <w:tcW w:w="3968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center"/>
            </w:pPr>
            <w:r>
              <w:t>Сумма баллов по шкале</w:t>
            </w:r>
          </w:p>
        </w:tc>
        <w:tc>
          <w:tcPr>
            <w:tcW w:w="5102" w:type="dxa"/>
            <w:vMerge w:val="restart"/>
          </w:tcPr>
          <w:p w:rsidR="00D02866" w:rsidRDefault="00D02866">
            <w:pPr>
              <w:pStyle w:val="ConsPlusNormal"/>
              <w:jc w:val="center"/>
            </w:pPr>
            <w:r>
              <w:t>Риск большого кровотечения в течение 1 года</w:t>
            </w: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3968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center"/>
            </w:pPr>
            <w:r>
              <w:t>HAS-BLED</w:t>
            </w:r>
          </w:p>
        </w:tc>
        <w:tc>
          <w:tcPr>
            <w:tcW w:w="5102" w:type="dxa"/>
            <w:vMerge/>
          </w:tcPr>
          <w:p w:rsidR="00D02866" w:rsidRDefault="00D02866">
            <w:pPr>
              <w:pStyle w:val="ConsPlusNormal"/>
            </w:pP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3968" w:type="dxa"/>
          </w:tcPr>
          <w:p w:rsidR="00D02866" w:rsidRDefault="00D02866">
            <w:pPr>
              <w:pStyle w:val="ConsPlusNormal"/>
              <w:jc w:val="both"/>
            </w:pPr>
            <w:r>
              <w:t>1 - 2</w:t>
            </w:r>
          </w:p>
        </w:tc>
        <w:tc>
          <w:tcPr>
            <w:tcW w:w="5102" w:type="dxa"/>
          </w:tcPr>
          <w:p w:rsidR="00D02866" w:rsidRDefault="00D02866">
            <w:pPr>
              <w:pStyle w:val="ConsPlusNormal"/>
              <w:jc w:val="both"/>
            </w:pPr>
            <w:r>
              <w:t>Низкий риск кровотечения</w:t>
            </w:r>
          </w:p>
        </w:tc>
      </w:tr>
      <w:tr w:rsidR="00D02866">
        <w:tblPrEx>
          <w:tblBorders>
            <w:insideH w:val="single" w:sz="4" w:space="0" w:color="auto"/>
          </w:tblBorders>
        </w:tblPrEx>
        <w:tc>
          <w:tcPr>
            <w:tcW w:w="3968" w:type="dxa"/>
          </w:tcPr>
          <w:p w:rsidR="00D02866" w:rsidRDefault="00D02866">
            <w:pPr>
              <w:pStyle w:val="ConsPlusNormal"/>
              <w:jc w:val="both"/>
            </w:pPr>
            <w:r>
              <w:rPr>
                <w:noProof/>
                <w:position w:val="-2"/>
              </w:rPr>
              <w:lastRenderedPageBreak/>
              <w:drawing>
                <wp:inline distT="0" distB="0" distL="0" distR="0">
                  <wp:extent cx="136525" cy="167640"/>
                  <wp:effectExtent l="0" t="0" r="0" b="0"/>
                  <wp:docPr id="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6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</w:t>
            </w:r>
          </w:p>
        </w:tc>
        <w:tc>
          <w:tcPr>
            <w:tcW w:w="5102" w:type="dxa"/>
          </w:tcPr>
          <w:p w:rsidR="00D02866" w:rsidRDefault="00D02866">
            <w:pPr>
              <w:pStyle w:val="ConsPlusNormal"/>
              <w:jc w:val="both"/>
            </w:pPr>
            <w:r>
              <w:t>Высокий риск кровотечения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right"/>
        <w:outlineLvl w:val="1"/>
      </w:pPr>
      <w:r>
        <w:t>Приложение Г3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jc w:val="center"/>
      </w:pPr>
      <w:r>
        <w:t>ИНЫЕ</w:t>
      </w: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r>
        <w:t>Таблица П1/Г3. Молекулярный патогенез фенокопий ГКМП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37"/>
        <w:gridCol w:w="6633"/>
      </w:tblGrid>
      <w:tr w:rsidR="00D02866">
        <w:tc>
          <w:tcPr>
            <w:tcW w:w="2437" w:type="dxa"/>
          </w:tcPr>
          <w:p w:rsidR="00D02866" w:rsidRDefault="00D02866">
            <w:pPr>
              <w:pStyle w:val="ConsPlusNormal"/>
              <w:jc w:val="center"/>
            </w:pPr>
            <w:r>
              <w:t>Нозология (фенокопия ГКМП)</w:t>
            </w:r>
          </w:p>
        </w:tc>
        <w:tc>
          <w:tcPr>
            <w:tcW w:w="6633" w:type="dxa"/>
          </w:tcPr>
          <w:p w:rsidR="00D02866" w:rsidRDefault="00D02866">
            <w:pPr>
              <w:pStyle w:val="ConsPlusNormal"/>
              <w:jc w:val="center"/>
            </w:pPr>
            <w:r>
              <w:t>Молекулярный патогенез</w:t>
            </w:r>
          </w:p>
        </w:tc>
      </w:tr>
      <w:tr w:rsidR="00D02866">
        <w:tc>
          <w:tcPr>
            <w:tcW w:w="2437" w:type="dxa"/>
          </w:tcPr>
          <w:p w:rsidR="00D02866" w:rsidRDefault="00D02866">
            <w:pPr>
              <w:pStyle w:val="ConsPlusNormal"/>
              <w:jc w:val="both"/>
            </w:pPr>
            <w:r>
              <w:t>AL-амилоидоз</w:t>
            </w:r>
          </w:p>
        </w:tc>
        <w:tc>
          <w:tcPr>
            <w:tcW w:w="6633" w:type="dxa"/>
          </w:tcPr>
          <w:p w:rsidR="00D02866" w:rsidRDefault="00D02866">
            <w:pPr>
              <w:pStyle w:val="ConsPlusNormal"/>
              <w:jc w:val="both"/>
            </w:pPr>
            <w:r>
              <w:t>При AL-амилоидозе клон малигнизированных плазматических клеток синтезирует в большом количестве легкие цепи (каппа или лямбда) иммуноглобулинов. Увеличение концентрации белка-предшественника выше некоторого порогового значения может автоматически приводить к началу фибриллогенеза и отложению амилоида в тканях. При этом в 5% случаев диагностируют преимущественное поражение сердца амилоидозом.</w:t>
            </w:r>
          </w:p>
        </w:tc>
      </w:tr>
      <w:tr w:rsidR="00D02866">
        <w:tc>
          <w:tcPr>
            <w:tcW w:w="2437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Ненаследственный (wtATTP)</w:t>
            </w:r>
          </w:p>
          <w:p w:rsidR="00D02866" w:rsidRDefault="00D02866">
            <w:pPr>
              <w:pStyle w:val="ConsPlusNormal"/>
              <w:jc w:val="both"/>
            </w:pPr>
            <w:r>
              <w:t>и наследственный (mtATTP) транстиретиновый амилоидоз</w:t>
            </w:r>
          </w:p>
        </w:tc>
        <w:tc>
          <w:tcPr>
            <w:tcW w:w="6633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В основе молекулярного патогенеза ненаследственного и наследственного транстиретинового амилоидоза лежат конформационные изменения и дестабилизация тетрамера транстиретина. Дестабилизация транстиретина приводит к неправильному фолдингу белка и агрегации вариантных мономеров транстиретина с образованием токсичных промежуточных амилоидогенных продуктов и амилоидных фибрилл.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2437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633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Эти механизмы могут нарушаться с возрастом, что объясняет повышение риска развития немутантного транстиретинового амилоидоза (wtATTP) у лиц пожилого и старческого возраста.</w:t>
            </w:r>
          </w:p>
        </w:tc>
      </w:tr>
      <w:tr w:rsidR="00D02866">
        <w:tc>
          <w:tcPr>
            <w:tcW w:w="2437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633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Наследственный ATTR чаще встречается в эндемичных для этого заболевания регионах. Наиболее частые генетические варианты: Val30Met-ATTR, со смешанной симптоматикой (неврологическая и кардиопатическая) с поздним дебютом и He-Val30Met-ATTR, кардиомиопатический вариант заболевания. Известны мутации, вызывающие семейные и спорадические формы заболевания, которые ассоциированы с преимущественным поражением сердца (например, Val122Ile, Ile68Leu, Thr60Ala, Leu111Met).</w:t>
            </w:r>
          </w:p>
        </w:tc>
      </w:tr>
      <w:tr w:rsidR="00D02866">
        <w:tc>
          <w:tcPr>
            <w:tcW w:w="2437" w:type="dxa"/>
          </w:tcPr>
          <w:p w:rsidR="00D02866" w:rsidRDefault="00D02866">
            <w:pPr>
              <w:pStyle w:val="ConsPlusNormal"/>
              <w:jc w:val="both"/>
            </w:pPr>
            <w:r>
              <w:t>Болезнь Андерсона-Фабри</w:t>
            </w:r>
          </w:p>
        </w:tc>
        <w:tc>
          <w:tcPr>
            <w:tcW w:w="6633" w:type="dxa"/>
          </w:tcPr>
          <w:p w:rsidR="00D02866" w:rsidRDefault="00D02866">
            <w:pPr>
              <w:pStyle w:val="ConsPlusNormal"/>
              <w:jc w:val="both"/>
            </w:pPr>
            <w:r>
              <w:t>Мутация в гене GLA (описано более 400), кодирующем фермент а-галактозидазу A (</w:t>
            </w:r>
            <w:r>
              <w:rPr>
                <w:noProof/>
                <w:position w:val="-1"/>
              </w:rPr>
              <w:drawing>
                <wp:inline distT="0" distB="0" distL="0" distR="0">
                  <wp:extent cx="136525" cy="157480"/>
                  <wp:effectExtent l="0" t="0" r="0" b="0"/>
                  <wp:docPr id="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15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-Gal A) приводит к значительному снижению активности фермента, вовлеченного в метаболизм сфингогликолипидов. Это приводит к накоплению негидролизованного субстрата блокированной ферментной реакции и сопровождается увеличением числа лизосом в клетках, нарушением нормального функционирования этих клеток и их гибелью.</w:t>
            </w:r>
          </w:p>
        </w:tc>
      </w:tr>
      <w:tr w:rsidR="00D02866">
        <w:tc>
          <w:tcPr>
            <w:tcW w:w="2437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lastRenderedPageBreak/>
              <w:t>Наследственные синдромы с ГКМП у подростков и молодых взрослых, связанные с мутациями в гене PRKAG2</w:t>
            </w:r>
          </w:p>
        </w:tc>
        <w:tc>
          <w:tcPr>
            <w:tcW w:w="6633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PRKAG2 кодирует цАМФ-активируемую протеинкиназу-</w:t>
            </w:r>
            <w:r>
              <w:rPr>
                <w:noProof/>
                <w:position w:val="-5"/>
              </w:rPr>
              <w:drawing>
                <wp:inline distT="0" distB="0" distL="0" distR="0">
                  <wp:extent cx="136525" cy="209550"/>
                  <wp:effectExtent l="0" t="0" r="0" b="0"/>
                  <wp:docPr id="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2. Данный белок определяет внутриклеточную аккумуляцию гликогена и нарушения его функции могут приводить к псевдогипертрофии кардиомиоцитов и задержке инволюции эмбриональных проводящих путей в миокарде.</w:t>
            </w:r>
          </w:p>
        </w:tc>
      </w:tr>
      <w:tr w:rsidR="00D02866">
        <w:tc>
          <w:tcPr>
            <w:tcW w:w="2437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6633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При этом наблюдается частое сочетание ГКМП и синдрома Вольфа-Паркинсона-Уайта.</w:t>
            </w:r>
          </w:p>
        </w:tc>
      </w:tr>
      <w:tr w:rsidR="00D02866">
        <w:tc>
          <w:tcPr>
            <w:tcW w:w="2437" w:type="dxa"/>
          </w:tcPr>
          <w:p w:rsidR="00D02866" w:rsidRDefault="00D02866">
            <w:pPr>
              <w:pStyle w:val="ConsPlusNormal"/>
              <w:jc w:val="both"/>
            </w:pPr>
            <w:r>
              <w:t>Болезнь Данона</w:t>
            </w:r>
          </w:p>
        </w:tc>
        <w:tc>
          <w:tcPr>
            <w:tcW w:w="6633" w:type="dxa"/>
          </w:tcPr>
          <w:p w:rsidR="00D02866" w:rsidRDefault="00D02866">
            <w:pPr>
              <w:pStyle w:val="ConsPlusNormal"/>
              <w:jc w:val="both"/>
            </w:pPr>
            <w:r>
              <w:t>Молекулярный механизм развития болезни Данона основан на дефекте в LAMP-2 белке, который опосредует накопление гликогена в кардиомиоцитах и приводит к псевдогипертрофии миокарда. Когда существует генетический обусловленный дефицит белка LAMP2, наблюдается неправильная аутофагическая деградация белков. Аутофагическая активность связана с патогенезом разнообразных болезней. Существует мнение, что болезнь Данона обусловлена наследственными нарушениями процесса аутофагии.</w:t>
            </w:r>
          </w:p>
        </w:tc>
      </w:tr>
      <w:tr w:rsidR="00D02866">
        <w:tc>
          <w:tcPr>
            <w:tcW w:w="2437" w:type="dxa"/>
          </w:tcPr>
          <w:p w:rsidR="00D02866" w:rsidRDefault="00D02866">
            <w:pPr>
              <w:pStyle w:val="ConsPlusNormal"/>
              <w:jc w:val="both"/>
            </w:pPr>
            <w:r>
              <w:t>Атаксия Фридрейха</w:t>
            </w:r>
          </w:p>
        </w:tc>
        <w:tc>
          <w:tcPr>
            <w:tcW w:w="6633" w:type="dxa"/>
          </w:tcPr>
          <w:p w:rsidR="00D02866" w:rsidRDefault="00D02866">
            <w:pPr>
              <w:pStyle w:val="ConsPlusNormal"/>
              <w:jc w:val="both"/>
            </w:pPr>
            <w:r>
              <w:t>Молекулярный патогенез атаксии Фридрейха до сих пор является предметом дискуссий. Однако на настоящий момент установлено участие белка фратаксина в поддержании гомеостаза железа в клетке и то, что его недостаточность приводит к множественному ферментному дефициту, митохондриальной дисфункции и окислительному повреждению.</w:t>
            </w:r>
          </w:p>
        </w:tc>
      </w:tr>
      <w:tr w:rsidR="00D02866">
        <w:tc>
          <w:tcPr>
            <w:tcW w:w="2437" w:type="dxa"/>
          </w:tcPr>
          <w:p w:rsidR="00D02866" w:rsidRDefault="00D02866">
            <w:pPr>
              <w:pStyle w:val="ConsPlusNormal"/>
              <w:jc w:val="both"/>
            </w:pPr>
            <w:r>
              <w:t>RASопатии</w:t>
            </w:r>
          </w:p>
          <w:p w:rsidR="00D02866" w:rsidRDefault="00D02866">
            <w:pPr>
              <w:pStyle w:val="ConsPlusNormal"/>
              <w:jc w:val="both"/>
            </w:pPr>
            <w:r>
              <w:t>(синдром Нунан</w:t>
            </w:r>
          </w:p>
          <w:p w:rsidR="00D02866" w:rsidRDefault="00D02866">
            <w:pPr>
              <w:pStyle w:val="ConsPlusNormal"/>
              <w:jc w:val="both"/>
            </w:pPr>
            <w:r>
              <w:t>и синдром LEOPARD)</w:t>
            </w:r>
          </w:p>
        </w:tc>
        <w:tc>
          <w:tcPr>
            <w:tcW w:w="6633" w:type="dxa"/>
          </w:tcPr>
          <w:p w:rsidR="00D02866" w:rsidRDefault="00D02866">
            <w:pPr>
              <w:pStyle w:val="ConsPlusNormal"/>
              <w:jc w:val="both"/>
            </w:pPr>
            <w:r>
              <w:t>Мутации в генах, кодирующих компоненты и регуляторы RAS/MAPC сигнального пути (RAS/митоген-активируемая протеинкиназа) вызывают множественные наследственные пороки развития. RAS/MAPC сигнальный путь ответственен за пролиферацию, дифференцировку, старение и апоптоз клеток и обеспечивающей этим нормальное развитие клеток и тканей организма в целом в эмбриональном и постнатальном периодах.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29" w:name="P2502"/>
      <w:bookmarkEnd w:id="429"/>
      <w:r>
        <w:t>Таблица П2/Г3. Морфофункциональные фенотипы при ГКМП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14"/>
        <w:gridCol w:w="5555"/>
      </w:tblGrid>
      <w:tr w:rsidR="00D02866">
        <w:tc>
          <w:tcPr>
            <w:tcW w:w="3514" w:type="dxa"/>
          </w:tcPr>
          <w:p w:rsidR="00D02866" w:rsidRDefault="00D02866">
            <w:pPr>
              <w:pStyle w:val="ConsPlusNormal"/>
              <w:jc w:val="center"/>
            </w:pPr>
            <w:r>
              <w:t>Морфофункциональный фенотип</w:t>
            </w:r>
          </w:p>
        </w:tc>
        <w:tc>
          <w:tcPr>
            <w:tcW w:w="5555" w:type="dxa"/>
          </w:tcPr>
          <w:p w:rsidR="00D02866" w:rsidRDefault="00D02866">
            <w:pPr>
              <w:pStyle w:val="ConsPlusNormal"/>
              <w:jc w:val="center"/>
            </w:pPr>
            <w:r>
              <w:t>Описание</w:t>
            </w:r>
          </w:p>
        </w:tc>
      </w:tr>
      <w:tr w:rsidR="00D02866">
        <w:tc>
          <w:tcPr>
            <w:tcW w:w="3514" w:type="dxa"/>
          </w:tcPr>
          <w:p w:rsidR="00D02866" w:rsidRDefault="00D02866">
            <w:pPr>
              <w:pStyle w:val="ConsPlusNormal"/>
              <w:jc w:val="both"/>
            </w:pPr>
            <w:r>
              <w:t>Гипертрофический ("классический")</w:t>
            </w:r>
          </w:p>
        </w:tc>
        <w:tc>
          <w:tcPr>
            <w:tcW w:w="5555" w:type="dxa"/>
          </w:tcPr>
          <w:p w:rsidR="00D02866" w:rsidRDefault="00D02866">
            <w:pPr>
              <w:pStyle w:val="ConsPlusNormal"/>
              <w:jc w:val="both"/>
            </w:pPr>
            <w:r>
              <w:t>Уменьшенный ЛЖ, асимметричная ГЛЖ (гипертрофия МЖП), обструкция ВТЛЖ</w:t>
            </w:r>
          </w:p>
        </w:tc>
      </w:tr>
      <w:tr w:rsidR="00D02866">
        <w:tc>
          <w:tcPr>
            <w:tcW w:w="3514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Смешанный</w:t>
            </w:r>
          </w:p>
        </w:tc>
        <w:tc>
          <w:tcPr>
            <w:tcW w:w="5555" w:type="dxa"/>
            <w:vMerge w:val="restart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Дилатационная стадия ГКМП, уменьшение степени гипертрофии ("выгорание"), уменьшение/исчезновение обструкции ВТЛЖ.</w:t>
            </w:r>
          </w:p>
        </w:tc>
      </w:tr>
      <w:tr w:rsidR="00D02866">
        <w:tblPrEx>
          <w:tblBorders>
            <w:insideH w:val="nil"/>
          </w:tblBorders>
        </w:tblPrEx>
        <w:trPr>
          <w:trHeight w:val="269"/>
        </w:trPr>
        <w:tc>
          <w:tcPr>
            <w:tcW w:w="3514" w:type="dxa"/>
            <w:vMerge w:val="restart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(гипертрофия + дилатация)</w:t>
            </w:r>
          </w:p>
        </w:tc>
        <w:tc>
          <w:tcPr>
            <w:tcW w:w="5555" w:type="dxa"/>
            <w:vMerge/>
            <w:tcBorders>
              <w:bottom w:val="nil"/>
            </w:tcBorders>
          </w:tcPr>
          <w:p w:rsidR="00D02866" w:rsidRDefault="00D02866">
            <w:pPr>
              <w:pStyle w:val="ConsPlusNormal"/>
            </w:pPr>
          </w:p>
        </w:tc>
      </w:tr>
      <w:tr w:rsidR="00D02866">
        <w:tc>
          <w:tcPr>
            <w:tcW w:w="3514" w:type="dxa"/>
            <w:vMerge/>
            <w:tcBorders>
              <w:top w:val="nil"/>
            </w:tcBorders>
          </w:tcPr>
          <w:p w:rsidR="00D02866" w:rsidRDefault="00D02866">
            <w:pPr>
              <w:pStyle w:val="ConsPlusNormal"/>
            </w:pPr>
          </w:p>
        </w:tc>
        <w:tc>
          <w:tcPr>
            <w:tcW w:w="5555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В дилатационной стадии при ГКМП степень дилатации, как правило, не бывает большой.</w:t>
            </w:r>
          </w:p>
        </w:tc>
      </w:tr>
      <w:tr w:rsidR="00D02866">
        <w:tc>
          <w:tcPr>
            <w:tcW w:w="3514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Смешанный</w:t>
            </w:r>
          </w:p>
        </w:tc>
        <w:tc>
          <w:tcPr>
            <w:tcW w:w="5555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Выраженная дилатация предсердий, рестриктивный тип наполнения ЛЖ. Может быть при маленьком ЛЖ</w:t>
            </w:r>
          </w:p>
        </w:tc>
      </w:tr>
      <w:tr w:rsidR="00D02866">
        <w:tc>
          <w:tcPr>
            <w:tcW w:w="3514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(гипертрофия + рестрикция)</w:t>
            </w:r>
          </w:p>
        </w:tc>
        <w:tc>
          <w:tcPr>
            <w:tcW w:w="5555" w:type="dxa"/>
            <w:vMerge/>
          </w:tcPr>
          <w:p w:rsidR="00D02866" w:rsidRDefault="00D02866">
            <w:pPr>
              <w:pStyle w:val="ConsPlusNormal"/>
            </w:pPr>
          </w:p>
        </w:tc>
      </w:tr>
      <w:tr w:rsidR="00D02866">
        <w:tc>
          <w:tcPr>
            <w:tcW w:w="3514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Смешанный</w:t>
            </w:r>
          </w:p>
        </w:tc>
        <w:tc>
          <w:tcPr>
            <w:tcW w:w="5555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Дилатационная стадия ГКМП. Выраженная дилатация предсердий, рестриктивный тип наполнения ЛЖ, уменьшение степени гипертрофии, дилатированный ЛЖ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3514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 xml:space="preserve">(гипертрофия + рестрикция + </w:t>
            </w:r>
            <w:r>
              <w:lastRenderedPageBreak/>
              <w:t>дилатация)</w:t>
            </w:r>
          </w:p>
        </w:tc>
        <w:tc>
          <w:tcPr>
            <w:tcW w:w="5555" w:type="dxa"/>
            <w:vMerge/>
          </w:tcPr>
          <w:p w:rsidR="00D02866" w:rsidRDefault="00D02866">
            <w:pPr>
              <w:pStyle w:val="ConsPlusNormal"/>
            </w:pP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Title"/>
        <w:ind w:firstLine="540"/>
        <w:jc w:val="both"/>
        <w:outlineLvl w:val="2"/>
      </w:pPr>
      <w:bookmarkStart w:id="430" w:name="P2519"/>
      <w:bookmarkEnd w:id="430"/>
      <w:r>
        <w:t>Таблица П3/Г3. Основные мероприятия по профилактике осложнений у пациентов с ГКМП</w:t>
      </w:r>
    </w:p>
    <w:p w:rsidR="00D02866" w:rsidRDefault="00D0286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95"/>
        <w:gridCol w:w="4875"/>
      </w:tblGrid>
      <w:tr w:rsidR="00D02866">
        <w:tc>
          <w:tcPr>
            <w:tcW w:w="4195" w:type="dxa"/>
          </w:tcPr>
          <w:p w:rsidR="00D02866" w:rsidRDefault="00D02866">
            <w:pPr>
              <w:pStyle w:val="ConsPlusNormal"/>
              <w:jc w:val="center"/>
            </w:pPr>
            <w:r>
              <w:t>Симптом/осложнение ГКМП</w:t>
            </w:r>
          </w:p>
        </w:tc>
        <w:tc>
          <w:tcPr>
            <w:tcW w:w="4875" w:type="dxa"/>
          </w:tcPr>
          <w:p w:rsidR="00D02866" w:rsidRDefault="00D02866">
            <w:pPr>
              <w:pStyle w:val="ConsPlusNormal"/>
              <w:jc w:val="center"/>
            </w:pPr>
            <w:r>
              <w:t>Профилактические мероприятия</w:t>
            </w:r>
          </w:p>
        </w:tc>
      </w:tr>
      <w:tr w:rsidR="00D02866">
        <w:tc>
          <w:tcPr>
            <w:tcW w:w="4195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Прогрессирование ГЛЖ</w:t>
            </w:r>
          </w:p>
        </w:tc>
        <w:tc>
          <w:tcPr>
            <w:tcW w:w="4875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Адекватное лечение ГКМП, обструкции ВТЛЖ включая фармакотерапию, эндоваскулярное и хирургическое.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4195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875" w:type="dxa"/>
            <w:tcBorders>
              <w:top w:val="nil"/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При сопутствующей АГ - гипотензивная терапия.</w:t>
            </w:r>
          </w:p>
        </w:tc>
      </w:tr>
      <w:tr w:rsidR="00D02866">
        <w:tc>
          <w:tcPr>
            <w:tcW w:w="4195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875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Избегать высокоинтенсивных физических нагрузок и спорта.</w:t>
            </w:r>
          </w:p>
        </w:tc>
      </w:tr>
      <w:tr w:rsidR="00D02866">
        <w:tc>
          <w:tcPr>
            <w:tcW w:w="4195" w:type="dxa"/>
          </w:tcPr>
          <w:p w:rsidR="00D02866" w:rsidRDefault="00D02866">
            <w:pPr>
              <w:pStyle w:val="ConsPlusNormal"/>
              <w:jc w:val="both"/>
            </w:pPr>
            <w:r>
              <w:t>ВСС и жизнеугрожающие нарушения ритма</w:t>
            </w:r>
          </w:p>
        </w:tc>
        <w:tc>
          <w:tcPr>
            <w:tcW w:w="4875" w:type="dxa"/>
          </w:tcPr>
          <w:p w:rsidR="00D02866" w:rsidRDefault="00D02866">
            <w:pPr>
              <w:pStyle w:val="ConsPlusNormal"/>
              <w:jc w:val="both"/>
            </w:pPr>
            <w:r>
              <w:t>Первичная и вторичная профилактика ВСС - см. раздел "Стратификация риска ВСС"</w:t>
            </w:r>
          </w:p>
        </w:tc>
      </w:tr>
      <w:tr w:rsidR="00D02866">
        <w:tc>
          <w:tcPr>
            <w:tcW w:w="4195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ХСН, развитие дилатационной стадии или присоединения рестриктивного фенотипа</w:t>
            </w:r>
          </w:p>
        </w:tc>
        <w:tc>
          <w:tcPr>
            <w:tcW w:w="4875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Адекватное лечение ГКМП, своевременное выявление и лечение обструкции ВТЛЖ.</w:t>
            </w:r>
          </w:p>
        </w:tc>
      </w:tr>
      <w:tr w:rsidR="00D02866">
        <w:tc>
          <w:tcPr>
            <w:tcW w:w="4195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875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При сопутствующей ИБС и АГ - адекватное лечение.</w:t>
            </w:r>
          </w:p>
        </w:tc>
      </w:tr>
      <w:tr w:rsidR="00D02866">
        <w:tc>
          <w:tcPr>
            <w:tcW w:w="4195" w:type="dxa"/>
          </w:tcPr>
          <w:p w:rsidR="00D02866" w:rsidRDefault="00D02866">
            <w:pPr>
              <w:pStyle w:val="ConsPlusNormal"/>
              <w:jc w:val="both"/>
            </w:pPr>
            <w:r>
              <w:t>Тромбоэмболические осложнения у пациентов с ФП</w:t>
            </w:r>
          </w:p>
        </w:tc>
        <w:tc>
          <w:tcPr>
            <w:tcW w:w="4875" w:type="dxa"/>
          </w:tcPr>
          <w:p w:rsidR="00D02866" w:rsidRDefault="00D02866">
            <w:pPr>
              <w:pStyle w:val="ConsPlusNormal"/>
              <w:jc w:val="both"/>
            </w:pPr>
            <w:r>
              <w:t>по общим принципам тромбопрофилактики при ФП (см. рекомендации по лечению ФП)</w:t>
            </w:r>
          </w:p>
        </w:tc>
      </w:tr>
      <w:tr w:rsidR="00D02866">
        <w:tc>
          <w:tcPr>
            <w:tcW w:w="4195" w:type="dxa"/>
            <w:vMerge w:val="restart"/>
          </w:tcPr>
          <w:p w:rsidR="00D02866" w:rsidRDefault="00D02866">
            <w:pPr>
              <w:pStyle w:val="ConsPlusNormal"/>
              <w:jc w:val="both"/>
            </w:pPr>
            <w:r>
              <w:t>Инфекционный эндокардит</w:t>
            </w:r>
          </w:p>
        </w:tc>
        <w:tc>
          <w:tcPr>
            <w:tcW w:w="4875" w:type="dxa"/>
            <w:tcBorders>
              <w:bottom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Антибиотикопрофилактика рекомендуется только перед процедурами высокого риска пациентам с ГКМП и протезами клапанов сердца, врожденным пороком сердца или если пациент ранее переносил инфекционный эндокардит (см. соответствующие рекомендации).</w:t>
            </w:r>
          </w:p>
        </w:tc>
      </w:tr>
      <w:tr w:rsidR="00D02866">
        <w:tblPrEx>
          <w:tblBorders>
            <w:insideH w:val="nil"/>
          </w:tblBorders>
        </w:tblPrEx>
        <w:tc>
          <w:tcPr>
            <w:tcW w:w="4195" w:type="dxa"/>
            <w:vMerge/>
          </w:tcPr>
          <w:p w:rsidR="00D02866" w:rsidRDefault="00D02866">
            <w:pPr>
              <w:pStyle w:val="ConsPlusNormal"/>
            </w:pPr>
          </w:p>
        </w:tc>
        <w:tc>
          <w:tcPr>
            <w:tcW w:w="4875" w:type="dxa"/>
            <w:tcBorders>
              <w:top w:val="nil"/>
            </w:tcBorders>
          </w:tcPr>
          <w:p w:rsidR="00D02866" w:rsidRDefault="00D02866">
            <w:pPr>
              <w:pStyle w:val="ConsPlusNormal"/>
              <w:jc w:val="both"/>
            </w:pPr>
            <w:r>
              <w:t>У пациентов с имплантированным ИКД*** профилактика инфекционного эндокардита - по рекомендациям ESC по электрокардиостимуляции 2013 г.</w:t>
            </w:r>
          </w:p>
        </w:tc>
      </w:tr>
    </w:tbl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jc w:val="both"/>
      </w:pPr>
    </w:p>
    <w:p w:rsidR="00D02866" w:rsidRDefault="00D0286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4FD4" w:rsidRDefault="007C4FD4"/>
    <w:sectPr w:rsidR="007C4FD4" w:rsidSect="00B15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02866"/>
    <w:rsid w:val="007C4FD4"/>
    <w:rsid w:val="00D028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F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28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0286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028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D0286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028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0286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0286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028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02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28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10.wmf"/><Relationship Id="rId26" Type="http://schemas.openxmlformats.org/officeDocument/2006/relationships/image" Target="media/image18.wmf"/><Relationship Id="rId39" Type="http://schemas.openxmlformats.org/officeDocument/2006/relationships/image" Target="media/image26.jpeg"/><Relationship Id="rId21" Type="http://schemas.openxmlformats.org/officeDocument/2006/relationships/image" Target="media/image13.wmf"/><Relationship Id="rId34" Type="http://schemas.openxmlformats.org/officeDocument/2006/relationships/hyperlink" Target="https://login.consultant.ru/link/?req=doc&amp;base=LAW&amp;n=358259" TargetMode="External"/><Relationship Id="rId42" Type="http://schemas.openxmlformats.org/officeDocument/2006/relationships/image" Target="media/image29.jpeg"/><Relationship Id="rId47" Type="http://schemas.openxmlformats.org/officeDocument/2006/relationships/image" Target="media/image34.png"/><Relationship Id="rId50" Type="http://schemas.openxmlformats.org/officeDocument/2006/relationships/image" Target="media/image37.jpeg"/><Relationship Id="rId55" Type="http://schemas.openxmlformats.org/officeDocument/2006/relationships/image" Target="media/image42.wmf"/><Relationship Id="rId7" Type="http://schemas.openxmlformats.org/officeDocument/2006/relationships/hyperlink" Target="https://login.consultant.ru/link/?req=doc&amp;base=EXP&amp;n=731991&amp;dst=141209" TargetMode="External"/><Relationship Id="rId12" Type="http://schemas.openxmlformats.org/officeDocument/2006/relationships/image" Target="media/image4.wmf"/><Relationship Id="rId17" Type="http://schemas.openxmlformats.org/officeDocument/2006/relationships/image" Target="media/image9.wmf"/><Relationship Id="rId25" Type="http://schemas.openxmlformats.org/officeDocument/2006/relationships/image" Target="media/image17.wmf"/><Relationship Id="rId33" Type="http://schemas.openxmlformats.org/officeDocument/2006/relationships/hyperlink" Target="https://login.consultant.ru/link/?req=doc&amp;base=LAW&amp;n=203333" TargetMode="External"/><Relationship Id="rId38" Type="http://schemas.openxmlformats.org/officeDocument/2006/relationships/image" Target="media/image25.jpeg"/><Relationship Id="rId46" Type="http://schemas.openxmlformats.org/officeDocument/2006/relationships/image" Target="media/image33.wmf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wmf"/><Relationship Id="rId20" Type="http://schemas.openxmlformats.org/officeDocument/2006/relationships/image" Target="media/image12.wmf"/><Relationship Id="rId29" Type="http://schemas.openxmlformats.org/officeDocument/2006/relationships/image" Target="media/image21.wmf"/><Relationship Id="rId41" Type="http://schemas.openxmlformats.org/officeDocument/2006/relationships/image" Target="media/image28.jpeg"/><Relationship Id="rId54" Type="http://schemas.openxmlformats.org/officeDocument/2006/relationships/image" Target="media/image41.wmf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EXP&amp;n=731991&amp;dst=141210" TargetMode="External"/><Relationship Id="rId11" Type="http://schemas.openxmlformats.org/officeDocument/2006/relationships/image" Target="media/image3.wmf"/><Relationship Id="rId24" Type="http://schemas.openxmlformats.org/officeDocument/2006/relationships/image" Target="media/image16.wmf"/><Relationship Id="rId32" Type="http://schemas.openxmlformats.org/officeDocument/2006/relationships/hyperlink" Target="https://login.consultant.ru/link/?req=doc&amp;base=LAW&amp;n=203333" TargetMode="External"/><Relationship Id="rId37" Type="http://schemas.openxmlformats.org/officeDocument/2006/relationships/image" Target="media/image24.jpeg"/><Relationship Id="rId40" Type="http://schemas.openxmlformats.org/officeDocument/2006/relationships/image" Target="media/image27.jpeg"/><Relationship Id="rId45" Type="http://schemas.openxmlformats.org/officeDocument/2006/relationships/image" Target="media/image32.wmf"/><Relationship Id="rId53" Type="http://schemas.openxmlformats.org/officeDocument/2006/relationships/image" Target="media/image40.jpeg"/><Relationship Id="rId58" Type="http://schemas.openxmlformats.org/officeDocument/2006/relationships/image" Target="media/image45.wmf"/><Relationship Id="rId5" Type="http://schemas.openxmlformats.org/officeDocument/2006/relationships/hyperlink" Target="https://login.consultant.ru/link/?req=doc&amp;base=EXP&amp;n=731991&amp;dst=141209" TargetMode="External"/><Relationship Id="rId15" Type="http://schemas.openxmlformats.org/officeDocument/2006/relationships/image" Target="media/image7.wmf"/><Relationship Id="rId23" Type="http://schemas.openxmlformats.org/officeDocument/2006/relationships/image" Target="media/image15.wmf"/><Relationship Id="rId28" Type="http://schemas.openxmlformats.org/officeDocument/2006/relationships/image" Target="media/image20.wmf"/><Relationship Id="rId36" Type="http://schemas.openxmlformats.org/officeDocument/2006/relationships/image" Target="media/image23.jpeg"/><Relationship Id="rId49" Type="http://schemas.openxmlformats.org/officeDocument/2006/relationships/image" Target="media/image36.jpeg"/><Relationship Id="rId57" Type="http://schemas.openxmlformats.org/officeDocument/2006/relationships/image" Target="media/image44.wmf"/><Relationship Id="rId10" Type="http://schemas.openxmlformats.org/officeDocument/2006/relationships/image" Target="media/image2.wmf"/><Relationship Id="rId19" Type="http://schemas.openxmlformats.org/officeDocument/2006/relationships/image" Target="media/image11.wmf"/><Relationship Id="rId31" Type="http://schemas.openxmlformats.org/officeDocument/2006/relationships/hyperlink" Target="https://login.consultant.ru/link/?req=doc&amp;base=EXP&amp;n=383402&amp;dst=100009" TargetMode="External"/><Relationship Id="rId44" Type="http://schemas.openxmlformats.org/officeDocument/2006/relationships/image" Target="media/image31.wmf"/><Relationship Id="rId52" Type="http://schemas.openxmlformats.org/officeDocument/2006/relationships/image" Target="media/image39.jpeg"/><Relationship Id="rId6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wmf"/><Relationship Id="rId14" Type="http://schemas.openxmlformats.org/officeDocument/2006/relationships/image" Target="media/image6.wmf"/><Relationship Id="rId22" Type="http://schemas.openxmlformats.org/officeDocument/2006/relationships/image" Target="media/image14.wmf"/><Relationship Id="rId27" Type="http://schemas.openxmlformats.org/officeDocument/2006/relationships/image" Target="media/image19.wmf"/><Relationship Id="rId30" Type="http://schemas.openxmlformats.org/officeDocument/2006/relationships/hyperlink" Target="https://login.consultant.ru/link/?req=doc&amp;base=LAW&amp;n=358705&amp;dst=100013" TargetMode="External"/><Relationship Id="rId35" Type="http://schemas.openxmlformats.org/officeDocument/2006/relationships/image" Target="media/image22.jpeg"/><Relationship Id="rId43" Type="http://schemas.openxmlformats.org/officeDocument/2006/relationships/image" Target="media/image30.jpeg"/><Relationship Id="rId48" Type="http://schemas.openxmlformats.org/officeDocument/2006/relationships/image" Target="media/image35.wmf"/><Relationship Id="rId56" Type="http://schemas.openxmlformats.org/officeDocument/2006/relationships/image" Target="media/image43.wmf"/><Relationship Id="rId8" Type="http://schemas.openxmlformats.org/officeDocument/2006/relationships/hyperlink" Target="https://login.consultant.ru/link/?req=doc&amp;base=EXP&amp;n=731991&amp;dst=141210" TargetMode="External"/><Relationship Id="rId51" Type="http://schemas.openxmlformats.org/officeDocument/2006/relationships/image" Target="media/image3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112</Pages>
  <Words>44229</Words>
  <Characters>252110</Characters>
  <Application>Microsoft Office Word</Application>
  <DocSecurity>0</DocSecurity>
  <Lines>2100</Lines>
  <Paragraphs>591</Paragraphs>
  <ScaleCrop>false</ScaleCrop>
  <Company/>
  <LinksUpToDate>false</LinksUpToDate>
  <CharactersWithSpaces>295748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Babanova</dc:creator>
  <cp:lastModifiedBy>Babanova</cp:lastModifiedBy>
  <cp:revision>1</cp:revision>
  <dcterms:created xsi:type="dcterms:W3CDTF">2024-03-25T08:20:00Z</dcterms:created>
  <dcterms:modified xsi:type="dcterms:W3CDTF">2024-03-25T08:21:00Z</dcterms:modified>
</cp:coreProperties>
</file>